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C14D2C" w14:textId="6A18EFA7" w:rsidR="00D95919" w:rsidRPr="00094656" w:rsidRDefault="00D95919" w:rsidP="00D95919">
      <w:pPr>
        <w:pStyle w:val="3GPPHeader"/>
        <w:spacing w:after="60"/>
        <w:rPr>
          <w:szCs w:val="24"/>
          <w:highlight w:val="yellow"/>
        </w:rPr>
      </w:pPr>
      <w:r w:rsidRPr="005F3709">
        <w:rPr>
          <w:szCs w:val="24"/>
        </w:rPr>
        <w:t>3GPP TSG-RAN WG2 #</w:t>
      </w:r>
      <w:r w:rsidR="00635F80" w:rsidRPr="005F3709">
        <w:rPr>
          <w:szCs w:val="24"/>
        </w:rPr>
        <w:t>100</w:t>
      </w:r>
      <w:r w:rsidRPr="00CA02B3">
        <w:rPr>
          <w:szCs w:val="24"/>
        </w:rPr>
        <w:tab/>
      </w:r>
      <w:r w:rsidRPr="00094656">
        <w:rPr>
          <w:sz w:val="32"/>
          <w:szCs w:val="24"/>
        </w:rPr>
        <w:t>Tdoc R2-</w:t>
      </w:r>
      <w:r w:rsidR="00635F80" w:rsidRPr="00094656">
        <w:rPr>
          <w:sz w:val="32"/>
          <w:szCs w:val="24"/>
        </w:rPr>
        <w:t>17</w:t>
      </w:r>
      <w:r w:rsidR="001247DE">
        <w:rPr>
          <w:sz w:val="32"/>
          <w:szCs w:val="24"/>
        </w:rPr>
        <w:t>13484</w:t>
      </w:r>
      <w:bookmarkStart w:id="0" w:name="_GoBack"/>
      <w:bookmarkEnd w:id="0"/>
    </w:p>
    <w:p w14:paraId="14BA759E" w14:textId="6014EDF8" w:rsidR="00D95919" w:rsidRPr="00EE1918" w:rsidRDefault="00635F80" w:rsidP="00094656">
      <w:pPr>
        <w:pStyle w:val="3GPPHeader"/>
        <w:spacing w:after="60"/>
        <w:jc w:val="left"/>
      </w:pPr>
      <w:r w:rsidRPr="00CA02B3">
        <w:rPr>
          <w:szCs w:val="24"/>
        </w:rPr>
        <w:t>Reno</w:t>
      </w:r>
      <w:r w:rsidR="00D95919" w:rsidRPr="00CA02B3">
        <w:rPr>
          <w:szCs w:val="24"/>
        </w:rPr>
        <w:t xml:space="preserve">, </w:t>
      </w:r>
      <w:r w:rsidRPr="00CA02B3">
        <w:rPr>
          <w:szCs w:val="24"/>
        </w:rPr>
        <w:t>US</w:t>
      </w:r>
      <w:r w:rsidR="00D95919" w:rsidRPr="00CA02B3">
        <w:rPr>
          <w:szCs w:val="24"/>
        </w:rPr>
        <w:t xml:space="preserve">, </w:t>
      </w:r>
      <w:r w:rsidRPr="00CA02B3">
        <w:rPr>
          <w:szCs w:val="24"/>
        </w:rPr>
        <w:t>2</w:t>
      </w:r>
      <w:r w:rsidR="00094656">
        <w:rPr>
          <w:szCs w:val="24"/>
        </w:rPr>
        <w:t>7</w:t>
      </w:r>
      <w:r w:rsidRPr="00094656">
        <w:rPr>
          <w:szCs w:val="24"/>
          <w:vertAlign w:val="superscript"/>
        </w:rPr>
        <w:t>th</w:t>
      </w:r>
      <w:r w:rsidR="00094656">
        <w:rPr>
          <w:szCs w:val="24"/>
        </w:rPr>
        <w:t xml:space="preserve"> Nov</w:t>
      </w:r>
      <w:r w:rsidR="00D95919" w:rsidRPr="00CA02B3">
        <w:rPr>
          <w:szCs w:val="24"/>
        </w:rPr>
        <w:t xml:space="preserve"> – </w:t>
      </w:r>
      <w:r w:rsidR="00094656">
        <w:rPr>
          <w:szCs w:val="24"/>
        </w:rPr>
        <w:t>1</w:t>
      </w:r>
      <w:r w:rsidR="00094656" w:rsidRPr="00951D38">
        <w:rPr>
          <w:szCs w:val="24"/>
          <w:vertAlign w:val="superscript"/>
        </w:rPr>
        <w:t>st</w:t>
      </w:r>
      <w:r w:rsidR="00094656">
        <w:rPr>
          <w:szCs w:val="24"/>
        </w:rPr>
        <w:t xml:space="preserve"> Dec</w:t>
      </w:r>
      <w:r w:rsidR="00D95919" w:rsidRPr="00CA02B3">
        <w:rPr>
          <w:szCs w:val="24"/>
        </w:rPr>
        <w:t xml:space="preserve"> 2017</w:t>
      </w:r>
      <w:r w:rsidRPr="00CA02B3">
        <w:rPr>
          <w:szCs w:val="24"/>
        </w:rPr>
        <w:t xml:space="preserve"> </w:t>
      </w:r>
      <w:r w:rsidR="005F3709">
        <w:rPr>
          <w:szCs w:val="24"/>
        </w:rPr>
        <w:tab/>
      </w:r>
      <w:r w:rsidRPr="00CA02B3">
        <w:rPr>
          <w:szCs w:val="24"/>
        </w:rPr>
        <w:t>revision</w:t>
      </w:r>
      <w:r w:rsidR="005F3709">
        <w:rPr>
          <w:szCs w:val="24"/>
        </w:rPr>
        <w:t xml:space="preserve"> </w:t>
      </w:r>
      <w:r w:rsidRPr="00CA02B3">
        <w:rPr>
          <w:szCs w:val="24"/>
        </w:rPr>
        <w:t>of</w:t>
      </w:r>
      <w:r w:rsidR="005F3709">
        <w:rPr>
          <w:szCs w:val="24"/>
        </w:rPr>
        <w:t xml:space="preserve"> </w:t>
      </w:r>
      <w:r w:rsidRPr="00094656">
        <w:rPr>
          <w:szCs w:val="24"/>
        </w:rPr>
        <w:t>R2-1711182</w:t>
      </w:r>
      <w:r w:rsidR="00EE1918">
        <w:tab/>
      </w:r>
    </w:p>
    <w:p w14:paraId="061E4352" w14:textId="383C4B7B" w:rsidR="00E90E49" w:rsidRPr="00951D38" w:rsidRDefault="00E90E49" w:rsidP="00357380">
      <w:pPr>
        <w:pStyle w:val="3GPPHeader"/>
        <w:rPr>
          <w:sz w:val="32"/>
        </w:rPr>
      </w:pPr>
    </w:p>
    <w:p w14:paraId="6DEB0739" w14:textId="77777777" w:rsidR="009027BD" w:rsidRPr="00091D30" w:rsidRDefault="009027BD" w:rsidP="009027BD">
      <w:pPr>
        <w:pStyle w:val="3GPPHeader"/>
        <w:rPr>
          <w:sz w:val="22"/>
          <w:szCs w:val="22"/>
          <w:lang w:val="en-US"/>
        </w:rPr>
      </w:pPr>
      <w:r w:rsidRPr="00091D30">
        <w:rPr>
          <w:sz w:val="22"/>
          <w:szCs w:val="22"/>
          <w:lang w:val="en-US"/>
        </w:rPr>
        <w:t>Agenda Item:</w:t>
      </w:r>
      <w:r w:rsidRPr="00091D30">
        <w:rPr>
          <w:sz w:val="22"/>
          <w:szCs w:val="22"/>
          <w:lang w:val="en-US"/>
        </w:rPr>
        <w:tab/>
        <w:t>10.3.1.12</w:t>
      </w:r>
    </w:p>
    <w:p w14:paraId="6C810FB0" w14:textId="77777777" w:rsidR="009027BD" w:rsidRPr="00091D30" w:rsidRDefault="009027BD" w:rsidP="009027BD">
      <w:pPr>
        <w:pStyle w:val="3GPPHeader"/>
        <w:rPr>
          <w:sz w:val="22"/>
          <w:szCs w:val="22"/>
          <w:lang w:val="en-US"/>
        </w:rPr>
      </w:pPr>
      <w:r w:rsidRPr="00091D30">
        <w:rPr>
          <w:sz w:val="22"/>
          <w:szCs w:val="22"/>
          <w:lang w:val="en-US"/>
        </w:rPr>
        <w:t>Source:</w:t>
      </w:r>
      <w:r w:rsidRPr="00091D30">
        <w:rPr>
          <w:sz w:val="22"/>
          <w:szCs w:val="22"/>
          <w:lang w:val="en-US"/>
        </w:rPr>
        <w:tab/>
        <w:t>Ericsson</w:t>
      </w:r>
    </w:p>
    <w:p w14:paraId="2E43C80D" w14:textId="49184AA2" w:rsidR="009027BD" w:rsidRPr="00091D30" w:rsidRDefault="009027BD" w:rsidP="009027BD">
      <w:pPr>
        <w:pStyle w:val="3GPPHeader"/>
        <w:rPr>
          <w:sz w:val="22"/>
          <w:szCs w:val="22"/>
          <w:lang w:val="en-US"/>
        </w:rPr>
      </w:pPr>
      <w:r w:rsidRPr="00091D30">
        <w:rPr>
          <w:sz w:val="22"/>
          <w:szCs w:val="22"/>
          <w:lang w:val="en-US"/>
        </w:rPr>
        <w:t>Title:</w:t>
      </w:r>
      <w:r w:rsidRPr="00091D30">
        <w:rPr>
          <w:sz w:val="22"/>
          <w:szCs w:val="22"/>
          <w:lang w:val="en-US"/>
        </w:rPr>
        <w:tab/>
        <w:t xml:space="preserve">Power </w:t>
      </w:r>
      <w:r w:rsidR="00951D38">
        <w:rPr>
          <w:sz w:val="22"/>
          <w:szCs w:val="22"/>
          <w:lang w:val="en-US"/>
        </w:rPr>
        <w:t>H</w:t>
      </w:r>
      <w:r w:rsidR="00951D38" w:rsidRPr="00091D30">
        <w:rPr>
          <w:sz w:val="22"/>
          <w:szCs w:val="22"/>
          <w:lang w:val="en-US"/>
        </w:rPr>
        <w:t xml:space="preserve">eadroom </w:t>
      </w:r>
      <w:r w:rsidR="00951D38">
        <w:rPr>
          <w:sz w:val="22"/>
          <w:szCs w:val="22"/>
          <w:lang w:val="en-US"/>
        </w:rPr>
        <w:t>R</w:t>
      </w:r>
      <w:r w:rsidR="00951D38" w:rsidRPr="00091D30">
        <w:rPr>
          <w:sz w:val="22"/>
          <w:szCs w:val="22"/>
          <w:lang w:val="en-US"/>
        </w:rPr>
        <w:t>eport</w:t>
      </w:r>
      <w:r w:rsidR="00951D38">
        <w:rPr>
          <w:sz w:val="22"/>
          <w:szCs w:val="22"/>
          <w:lang w:val="en-US"/>
        </w:rPr>
        <w:t>ing</w:t>
      </w:r>
      <w:r w:rsidR="00951D38" w:rsidRPr="00091D30">
        <w:rPr>
          <w:sz w:val="22"/>
          <w:szCs w:val="22"/>
          <w:lang w:val="en-US"/>
        </w:rPr>
        <w:t xml:space="preserve"> </w:t>
      </w:r>
      <w:r w:rsidRPr="00091D30">
        <w:rPr>
          <w:sz w:val="22"/>
          <w:szCs w:val="22"/>
          <w:lang w:val="en-US"/>
        </w:rPr>
        <w:t>in NR</w:t>
      </w:r>
    </w:p>
    <w:p w14:paraId="795E70F6" w14:textId="4CE6CEC4" w:rsidR="009027BD" w:rsidRDefault="009027BD" w:rsidP="009027BD">
      <w:pPr>
        <w:pStyle w:val="3GPPHeader"/>
        <w:rPr>
          <w:sz w:val="22"/>
          <w:szCs w:val="22"/>
          <w:lang w:val="en-US"/>
        </w:rPr>
      </w:pPr>
      <w:r w:rsidRPr="00091D30">
        <w:rPr>
          <w:sz w:val="22"/>
          <w:szCs w:val="22"/>
          <w:lang w:val="en-US"/>
        </w:rPr>
        <w:t>Document for:</w:t>
      </w:r>
      <w:r w:rsidRPr="00091D30">
        <w:rPr>
          <w:sz w:val="22"/>
          <w:szCs w:val="22"/>
          <w:lang w:val="en-US"/>
        </w:rPr>
        <w:tab/>
        <w:t>Discussion, Decision</w:t>
      </w:r>
    </w:p>
    <w:p w14:paraId="4D970E98" w14:textId="77777777" w:rsidR="00EE1918" w:rsidRPr="00091D30" w:rsidRDefault="00EE1918" w:rsidP="009027BD">
      <w:pPr>
        <w:pStyle w:val="3GPPHeader"/>
        <w:rPr>
          <w:sz w:val="22"/>
          <w:szCs w:val="22"/>
          <w:lang w:val="en-US"/>
        </w:rPr>
      </w:pPr>
    </w:p>
    <w:p w14:paraId="77488755" w14:textId="381615D5" w:rsidR="009027BD" w:rsidRPr="00091D30" w:rsidRDefault="009027BD" w:rsidP="009027BD">
      <w:pPr>
        <w:pStyle w:val="Heading1"/>
        <w:rPr>
          <w:lang w:val="en-US"/>
        </w:rPr>
      </w:pPr>
      <w:r w:rsidRPr="00091D30">
        <w:rPr>
          <w:lang w:val="en-US"/>
        </w:rPr>
        <w:t>Introduction</w:t>
      </w:r>
    </w:p>
    <w:p w14:paraId="4897BC68" w14:textId="03D75057" w:rsidR="009027BD" w:rsidRPr="00091D30" w:rsidRDefault="009027BD" w:rsidP="009027BD">
      <w:pPr>
        <w:rPr>
          <w:lang w:val="en-US"/>
        </w:rPr>
      </w:pPr>
      <w:r w:rsidRPr="00091D30">
        <w:rPr>
          <w:lang w:val="en-US"/>
        </w:rPr>
        <w:t xml:space="preserve">Based on RAN1 </w:t>
      </w:r>
      <w:r w:rsidR="00C339DD">
        <w:rPr>
          <w:lang w:val="en-US"/>
        </w:rPr>
        <w:t>progress</w:t>
      </w:r>
      <w:r w:rsidRPr="00091D30">
        <w:rPr>
          <w:lang w:val="en-US"/>
        </w:rPr>
        <w:t xml:space="preserve">, this contribution analyses RAN2 aspects for PHR </w:t>
      </w:r>
      <w:r w:rsidR="00065048">
        <w:rPr>
          <w:lang w:val="en-US"/>
        </w:rPr>
        <w:t>to</w:t>
      </w:r>
      <w:r w:rsidR="00065048" w:rsidRPr="00091D30">
        <w:rPr>
          <w:lang w:val="en-US"/>
        </w:rPr>
        <w:t xml:space="preserve"> </w:t>
      </w:r>
      <w:r w:rsidRPr="00091D30">
        <w:rPr>
          <w:lang w:val="en-US"/>
        </w:rPr>
        <w:t>enable further progress in RAN2.</w:t>
      </w:r>
      <w:r>
        <w:rPr>
          <w:lang w:val="en-US"/>
        </w:rPr>
        <w:t xml:space="preserve"> There is a corresponding text proposal in [1].</w:t>
      </w:r>
    </w:p>
    <w:p w14:paraId="0023C584" w14:textId="77777777" w:rsidR="009027BD" w:rsidRPr="00091D30" w:rsidRDefault="009027BD" w:rsidP="009027BD">
      <w:pPr>
        <w:pStyle w:val="Heading1"/>
        <w:rPr>
          <w:lang w:val="en-US"/>
        </w:rPr>
      </w:pPr>
      <w:r w:rsidRPr="00091D30">
        <w:rPr>
          <w:lang w:val="en-US"/>
        </w:rPr>
        <w:t>Discussion</w:t>
      </w:r>
    </w:p>
    <w:p w14:paraId="775D035C" w14:textId="7047F77A" w:rsidR="009027BD" w:rsidRPr="00091D30" w:rsidRDefault="00A2308D" w:rsidP="009027BD">
      <w:pPr>
        <w:pStyle w:val="Heading2"/>
        <w:numPr>
          <w:ilvl w:val="1"/>
          <w:numId w:val="24"/>
        </w:numPr>
        <w:textAlignment w:val="auto"/>
        <w:rPr>
          <w:lang w:val="en-US"/>
        </w:rPr>
      </w:pPr>
      <w:r>
        <w:rPr>
          <w:lang w:val="en-US"/>
        </w:rPr>
        <w:t>Single-cell PHR format</w:t>
      </w:r>
    </w:p>
    <w:p w14:paraId="0CDA86EF" w14:textId="01205AF3" w:rsidR="009027BD" w:rsidRPr="00091D30" w:rsidRDefault="009027BD" w:rsidP="009027BD">
      <w:pPr>
        <w:rPr>
          <w:lang w:val="en-US" w:eastAsia="ko-KR"/>
        </w:rPr>
      </w:pPr>
      <w:r w:rsidRPr="00091D30">
        <w:rPr>
          <w:lang w:val="en-US" w:eastAsia="ko-KR"/>
        </w:rPr>
        <w:t xml:space="preserve">In LTE, </w:t>
      </w:r>
      <w:r w:rsidRPr="00091D30">
        <w:rPr>
          <w:lang w:val="en-US"/>
        </w:rPr>
        <w:t>The Power Headroom reporting procedure is used to provide the serving eNB with information about the difference between the nominal UE maximum transmit power and the estimated power for UL-SCH transmission or SRS transmission per activated Serving Cell</w:t>
      </w:r>
      <w:r w:rsidR="00065048">
        <w:rPr>
          <w:lang w:val="en-US"/>
        </w:rPr>
        <w:t>. It is also used to</w:t>
      </w:r>
      <w:r w:rsidRPr="00091D30">
        <w:rPr>
          <w:lang w:val="en-US"/>
        </w:rPr>
        <w:t xml:space="preserve"> </w:t>
      </w:r>
      <w:r w:rsidR="00065048" w:rsidRPr="00091D30">
        <w:rPr>
          <w:lang w:val="en-US"/>
        </w:rPr>
        <w:t>provide the serving eNB with</w:t>
      </w:r>
      <w:r w:rsidR="00065048" w:rsidRPr="00091D30" w:rsidDel="00065048">
        <w:rPr>
          <w:lang w:val="en-US"/>
        </w:rPr>
        <w:t xml:space="preserve"> </w:t>
      </w:r>
      <w:r w:rsidRPr="00091D30">
        <w:rPr>
          <w:lang w:val="en-US"/>
        </w:rPr>
        <w:t xml:space="preserve"> information about the difference between the nominal UE maximum power and the estimated power for UL-SCH and PUCCH transmission on SpCell and PUCCH SCell. </w:t>
      </w:r>
      <w:r w:rsidR="00065048">
        <w:rPr>
          <w:lang w:val="en-US"/>
        </w:rPr>
        <w:t>A</w:t>
      </w:r>
      <w:r w:rsidR="00065048" w:rsidRPr="00091D30">
        <w:rPr>
          <w:lang w:val="en-US"/>
        </w:rPr>
        <w:t xml:space="preserve"> </w:t>
      </w:r>
      <w:r w:rsidRPr="00091D30">
        <w:rPr>
          <w:lang w:val="en-US"/>
        </w:rPr>
        <w:t xml:space="preserve">similar procedure </w:t>
      </w:r>
      <w:r w:rsidRPr="00091D30">
        <w:rPr>
          <w:lang w:val="en-US" w:eastAsia="ko-KR"/>
        </w:rPr>
        <w:t>would be also required for NR.</w:t>
      </w:r>
    </w:p>
    <w:p w14:paraId="36774841" w14:textId="77777777" w:rsidR="009027BD" w:rsidRPr="00091D30" w:rsidRDefault="009027BD" w:rsidP="009027BD">
      <w:pPr>
        <w:rPr>
          <w:lang w:val="en-US" w:eastAsia="ko-KR"/>
        </w:rPr>
      </w:pPr>
      <w:r w:rsidRPr="00091D30">
        <w:rPr>
          <w:lang w:val="en-US" w:eastAsia="ko-KR"/>
        </w:rPr>
        <w:t>LTE defines the following PHR MAC CE in Rel-8 as shown below for single connection (see 3GPP TS 36.321)</w:t>
      </w:r>
    </w:p>
    <w:p w14:paraId="191BBFC1" w14:textId="77777777" w:rsidR="009027BD" w:rsidRPr="00091D30" w:rsidRDefault="009027BD" w:rsidP="009027BD">
      <w:pPr>
        <w:pStyle w:val="TH"/>
        <w:rPr>
          <w:lang w:val="en-US"/>
        </w:rPr>
      </w:pPr>
      <w:r w:rsidRPr="00091D30">
        <w:rPr>
          <w:noProof/>
          <w:lang w:val="en-US" w:eastAsia="zh-CN"/>
        </w:rPr>
        <w:drawing>
          <wp:inline distT="0" distB="0" distL="0" distR="0" wp14:anchorId="17CC75B8" wp14:editId="19CCCBAB">
            <wp:extent cx="2235200" cy="6686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35200" cy="668655"/>
                    </a:xfrm>
                    <a:prstGeom prst="rect">
                      <a:avLst/>
                    </a:prstGeom>
                    <a:noFill/>
                    <a:ln>
                      <a:noFill/>
                    </a:ln>
                  </pic:spPr>
                </pic:pic>
              </a:graphicData>
            </a:graphic>
          </wp:inline>
        </w:drawing>
      </w:r>
    </w:p>
    <w:p w14:paraId="5898164B" w14:textId="77777777" w:rsidR="009027BD" w:rsidRPr="00091D30" w:rsidRDefault="009027BD" w:rsidP="009027BD">
      <w:pPr>
        <w:pStyle w:val="TF"/>
        <w:rPr>
          <w:lang w:val="en-US" w:eastAsia="ko-KR"/>
        </w:rPr>
      </w:pPr>
      <w:r w:rsidRPr="00091D30">
        <w:rPr>
          <w:lang w:val="en-US" w:eastAsia="ko-KR"/>
        </w:rPr>
        <w:t>Figure 6.1.3.6-1: PHR MAC control element</w:t>
      </w:r>
    </w:p>
    <w:p w14:paraId="5D9C2A83" w14:textId="338F151D" w:rsidR="009027BD" w:rsidRPr="00091D30" w:rsidRDefault="009027BD" w:rsidP="009027BD">
      <w:pPr>
        <w:rPr>
          <w:lang w:val="en-US" w:eastAsia="ko-KR"/>
        </w:rPr>
      </w:pPr>
      <w:r w:rsidRPr="00091D30">
        <w:rPr>
          <w:lang w:val="en-US"/>
        </w:rPr>
        <w:t>It has a fixed size and consists of a single octet</w:t>
      </w:r>
      <w:r w:rsidR="00065048">
        <w:rPr>
          <w:lang w:val="en-US"/>
        </w:rPr>
        <w:t xml:space="preserve"> which is</w:t>
      </w:r>
      <w:r w:rsidR="00A2308D">
        <w:rPr>
          <w:lang w:val="en-US"/>
        </w:rPr>
        <w:t xml:space="preserve"> particularly valuable in scenarios with low bitrates (e.g. VoIP).</w:t>
      </w:r>
      <w:r w:rsidRPr="00091D30">
        <w:rPr>
          <w:lang w:val="en-US"/>
        </w:rPr>
        <w:t xml:space="preserve"> This</w:t>
      </w:r>
      <w:r w:rsidRPr="00091D30">
        <w:rPr>
          <w:lang w:val="en-US" w:eastAsia="ko-KR"/>
        </w:rPr>
        <w:t xml:space="preserve"> format is extended to support carrier aggregation in Rel-10 (up to 8 serving cells), and further extended to support PUCCH SCell and/or 32 serving cells in Rel-13. The DC PHR MAC is also defined in Rel-12 to support dual connectivity.</w:t>
      </w:r>
    </w:p>
    <w:p w14:paraId="4B17D9AD" w14:textId="329AE480" w:rsidR="009027BD" w:rsidRDefault="00065048" w:rsidP="009027BD">
      <w:pPr>
        <w:rPr>
          <w:lang w:val="en-US"/>
        </w:rPr>
      </w:pPr>
      <w:r>
        <w:rPr>
          <w:lang w:val="en-US" w:eastAsia="ko-KR"/>
        </w:rPr>
        <w:t>Since it</w:t>
      </w:r>
      <w:r w:rsidRPr="00091D30">
        <w:rPr>
          <w:lang w:val="en-US" w:eastAsia="ko-KR"/>
        </w:rPr>
        <w:t xml:space="preserve"> </w:t>
      </w:r>
      <w:r w:rsidR="009027BD" w:rsidRPr="00091D30">
        <w:rPr>
          <w:lang w:val="en-US" w:eastAsia="ko-KR"/>
        </w:rPr>
        <w:t>for</w:t>
      </w:r>
      <w:r>
        <w:rPr>
          <w:lang w:val="en-US" w:eastAsia="ko-KR"/>
        </w:rPr>
        <w:t xml:space="preserve"> the</w:t>
      </w:r>
      <w:r w:rsidR="009027BD" w:rsidRPr="00091D30">
        <w:rPr>
          <w:lang w:val="en-US" w:eastAsia="ko-KR"/>
        </w:rPr>
        <w:t xml:space="preserve"> extended PHR MAC CE</w:t>
      </w:r>
      <w:r w:rsidR="00073473">
        <w:rPr>
          <w:lang w:val="en-US"/>
        </w:rPr>
        <w:t xml:space="preserve"> has been agreed by RAN1 that</w:t>
      </w:r>
      <w:r w:rsidR="009027BD" w:rsidRPr="00091D30">
        <w:rPr>
          <w:lang w:val="en-US"/>
        </w:rPr>
        <w:t xml:space="preserve"> NR CA supports </w:t>
      </w:r>
      <w:r w:rsidR="00073473">
        <w:rPr>
          <w:lang w:val="en-US"/>
        </w:rPr>
        <w:t>16 serving cells/CC</w:t>
      </w:r>
      <w:r w:rsidR="00774024">
        <w:rPr>
          <w:lang w:val="en-US"/>
        </w:rPr>
        <w:t>s</w:t>
      </w:r>
      <w:r w:rsidR="00073473">
        <w:rPr>
          <w:lang w:val="en-US"/>
        </w:rPr>
        <w:t xml:space="preserve"> </w:t>
      </w:r>
      <w:r w:rsidR="009027BD" w:rsidRPr="00091D30">
        <w:rPr>
          <w:lang w:val="en-US"/>
        </w:rPr>
        <w:t xml:space="preserve">from Rel-15 onwards, it </w:t>
      </w:r>
      <w:r w:rsidR="00073473">
        <w:rPr>
          <w:lang w:val="en-US"/>
        </w:rPr>
        <w:t>is</w:t>
      </w:r>
      <w:r w:rsidR="009027BD" w:rsidRPr="00091D30">
        <w:rPr>
          <w:lang w:val="en-US"/>
        </w:rPr>
        <w:t xml:space="preserve"> </w:t>
      </w:r>
      <w:r w:rsidR="00073473">
        <w:rPr>
          <w:lang w:val="en-US"/>
        </w:rPr>
        <w:t xml:space="preserve">sufficient </w:t>
      </w:r>
      <w:r w:rsidR="009027BD" w:rsidRPr="00091D30">
        <w:rPr>
          <w:lang w:val="en-US"/>
        </w:rPr>
        <w:t xml:space="preserve">to support </w:t>
      </w:r>
      <w:r w:rsidR="00073473">
        <w:rPr>
          <w:lang w:val="en-US"/>
        </w:rPr>
        <w:t>only</w:t>
      </w:r>
      <w:r w:rsidR="009027BD" w:rsidRPr="00091D30">
        <w:rPr>
          <w:lang w:val="en-US"/>
        </w:rPr>
        <w:t xml:space="preserve"> </w:t>
      </w:r>
      <w:r w:rsidR="004C65E1">
        <w:rPr>
          <w:lang w:val="en-US"/>
        </w:rPr>
        <w:t xml:space="preserve">the </w:t>
      </w:r>
      <w:r w:rsidR="009027BD" w:rsidRPr="00091D30">
        <w:rPr>
          <w:i/>
          <w:lang w:val="en-US"/>
        </w:rPr>
        <w:t>extendedPHR2</w:t>
      </w:r>
      <w:r w:rsidR="009027BD" w:rsidRPr="00091D30">
        <w:rPr>
          <w:lang w:val="en-US"/>
        </w:rPr>
        <w:t xml:space="preserve"> format.</w:t>
      </w:r>
    </w:p>
    <w:p w14:paraId="38CB9DE1" w14:textId="15311BD2" w:rsidR="005757DD" w:rsidRPr="002C52DF" w:rsidRDefault="005757DD" w:rsidP="002C52DF">
      <w:pPr>
        <w:pStyle w:val="Observation"/>
      </w:pPr>
      <w:bookmarkStart w:id="1" w:name="_Toc497999118"/>
      <w:bookmarkStart w:id="2" w:name="_Toc498330958"/>
      <w:bookmarkStart w:id="3" w:name="_Toc498619069"/>
      <w:r w:rsidRPr="002C52DF">
        <w:t>The unified PHR MAC CE format used for both single connectivity and ‘dual connectivity and CA’ is not efficient single connectivity.</w:t>
      </w:r>
      <w:bookmarkEnd w:id="1"/>
      <w:bookmarkEnd w:id="2"/>
      <w:bookmarkEnd w:id="3"/>
    </w:p>
    <w:p w14:paraId="6D06A5E0" w14:textId="49FA0214" w:rsidR="009027BD" w:rsidRPr="002C52DF" w:rsidRDefault="00C42B23" w:rsidP="002C52DF">
      <w:pPr>
        <w:pStyle w:val="Proposal"/>
      </w:pPr>
      <w:bookmarkStart w:id="4" w:name="_Toc489970231"/>
      <w:bookmarkStart w:id="5" w:name="_Toc489988179"/>
      <w:bookmarkStart w:id="6" w:name="_Toc490048799"/>
      <w:bookmarkStart w:id="7" w:name="_Toc490059823"/>
      <w:bookmarkStart w:id="8" w:name="_Toc490120698"/>
      <w:bookmarkStart w:id="9" w:name="_Toc490217824"/>
      <w:bookmarkStart w:id="10" w:name="_Toc494178887"/>
      <w:bookmarkStart w:id="11" w:name="_Toc494203922"/>
      <w:bookmarkStart w:id="12" w:name="_Toc494275250"/>
      <w:bookmarkStart w:id="13" w:name="_Toc494275574"/>
      <w:bookmarkStart w:id="14" w:name="_Toc494280386"/>
      <w:bookmarkStart w:id="15" w:name="_Toc494280435"/>
      <w:bookmarkStart w:id="16" w:name="_Toc494280712"/>
      <w:bookmarkStart w:id="17" w:name="_Toc494360726"/>
      <w:bookmarkStart w:id="18" w:name="_Toc494394779"/>
      <w:bookmarkStart w:id="19" w:name="_Toc494399384"/>
      <w:bookmarkStart w:id="20" w:name="_Toc497310241"/>
      <w:bookmarkStart w:id="21" w:name="_Toc497311424"/>
      <w:bookmarkStart w:id="22" w:name="_Toc497466250"/>
      <w:bookmarkStart w:id="23" w:name="_Toc497481039"/>
      <w:bookmarkStart w:id="24" w:name="_Toc497999113"/>
      <w:bookmarkStart w:id="25" w:name="_Toc498605682"/>
      <w:bookmarkStart w:id="26" w:name="_Toc498619121"/>
      <w:bookmarkStart w:id="27" w:name="_Toc480752282"/>
      <w:bookmarkStart w:id="28" w:name="_Toc487637986"/>
      <w:bookmarkStart w:id="29" w:name="_Toc487639648"/>
      <w:bookmarkStart w:id="30" w:name="_Toc489822809"/>
      <w:bookmarkStart w:id="31" w:name="_Toc489822863"/>
      <w:bookmarkStart w:id="32" w:name="_Toc473881431"/>
      <w:bookmarkStart w:id="33" w:name="_Toc473891703"/>
      <w:r w:rsidRPr="002C52DF">
        <w:t>NR r</w:t>
      </w:r>
      <w:r w:rsidR="009027BD" w:rsidRPr="002C52DF">
        <w:t>euse</w:t>
      </w:r>
      <w:r w:rsidR="0023199C" w:rsidRPr="002C52DF">
        <w:t>s</w:t>
      </w:r>
      <w:r w:rsidR="009027BD" w:rsidRPr="002C52DF">
        <w:t xml:space="preserve"> LTE PHR MAC CE for single </w:t>
      </w:r>
      <w:r w:rsidRPr="002C52DF">
        <w:t>serving cell scenario</w:t>
      </w:r>
      <w:bookmarkEnd w:id="4"/>
      <w:bookmarkEnd w:id="5"/>
      <w:bookmarkEnd w:id="6"/>
      <w:bookmarkEnd w:id="7"/>
      <w:bookmarkEnd w:id="8"/>
      <w:r w:rsidR="009027BD" w:rsidRPr="002C52DF">
        <w:t>.</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bookmarkEnd w:id="28"/>
    <w:bookmarkEnd w:id="29"/>
    <w:bookmarkEnd w:id="30"/>
    <w:bookmarkEnd w:id="31"/>
    <w:p w14:paraId="0037C597" w14:textId="2213968D" w:rsidR="00CA02B3" w:rsidRDefault="00CA02B3" w:rsidP="002C52DF">
      <w:pPr>
        <w:pStyle w:val="Heading2"/>
      </w:pPr>
      <w:r>
        <w:lastRenderedPageBreak/>
        <w:t xml:space="preserve">PHR </w:t>
      </w:r>
      <w:r w:rsidR="00051335">
        <w:t>considering two power control processes per cell</w:t>
      </w:r>
    </w:p>
    <w:p w14:paraId="680EC788" w14:textId="492AD847" w:rsidR="00D26050" w:rsidRDefault="00581FC1" w:rsidP="002C52DF">
      <w:r>
        <w:t>in RAN1-90bis, it was agreed that</w:t>
      </w:r>
      <w:r w:rsidR="00D26050">
        <w:t xml:space="preserve"> up to 2 closed loop power control processe</w:t>
      </w:r>
      <w:r w:rsidR="009F4A23">
        <w:t>s (for PUSCH, PUCCH/SRS)</w:t>
      </w:r>
      <w:r w:rsidR="00D26050">
        <w:t xml:space="preserve"> </w:t>
      </w:r>
      <w:r>
        <w:t xml:space="preserve">can be configured </w:t>
      </w:r>
      <w:r w:rsidR="00D26050">
        <w:t>per cell. The work</w:t>
      </w:r>
      <w:r w:rsidR="00A2308D">
        <w:t>ing</w:t>
      </w:r>
      <w:r w:rsidR="00D26050">
        <w:t xml:space="preserve"> assumption is that two clos</w:t>
      </w:r>
      <w:r>
        <w:t>ed loop power control process</w:t>
      </w:r>
      <w:r w:rsidR="0026628B">
        <w:t>es</w:t>
      </w:r>
      <w:r>
        <w:t xml:space="preserve"> can be applied in a</w:t>
      </w:r>
      <w:r w:rsidR="00D26050">
        <w:t xml:space="preserve"> NR cell with</w:t>
      </w:r>
      <w:r>
        <w:t xml:space="preserve"> both</w:t>
      </w:r>
      <w:r w:rsidR="00D26050">
        <w:t xml:space="preserve"> SUL carrier</w:t>
      </w:r>
      <w:r>
        <w:t xml:space="preserve"> and NR UL carrier, i.e. one closed loop power control process can be applied per UL carrier in one cell</w:t>
      </w:r>
      <w:r w:rsidR="00051335">
        <w:t xml:space="preserve">. </w:t>
      </w:r>
      <w:r w:rsidR="00E85CF6">
        <w:t>Some</w:t>
      </w:r>
      <w:r w:rsidR="00AB1AB5">
        <w:t xml:space="preserve"> other possible cases </w:t>
      </w:r>
      <w:r w:rsidR="00E85CF6">
        <w:t>for</w:t>
      </w:r>
      <w:r w:rsidR="00AB1AB5">
        <w:t xml:space="preserve"> </w:t>
      </w:r>
      <w:r>
        <w:t xml:space="preserve">applying </w:t>
      </w:r>
      <w:r w:rsidR="00AB1AB5">
        <w:t>two closed loop power control processes, such as</w:t>
      </w:r>
      <w:r w:rsidR="00E85CF6">
        <w:t xml:space="preserve"> two different serving beams,</w:t>
      </w:r>
      <w:r w:rsidR="00AB1AB5">
        <w:t xml:space="preserve"> two different slot sets, two different logical channels</w:t>
      </w:r>
      <w:r w:rsidR="00E85CF6">
        <w:t xml:space="preserve"> etc, are </w:t>
      </w:r>
      <w:r>
        <w:t xml:space="preserve">still being discussed </w:t>
      </w:r>
      <w:r w:rsidR="00E85CF6">
        <w:t>in RAN1.</w:t>
      </w:r>
    </w:p>
    <w:p w14:paraId="33AA871A" w14:textId="605EDE52" w:rsidR="00A86AFD" w:rsidRDefault="00E82855" w:rsidP="002C52DF">
      <w:pPr>
        <w:pStyle w:val="Observation"/>
      </w:pPr>
      <w:bookmarkStart w:id="34" w:name="_Toc497310414"/>
      <w:bookmarkStart w:id="35" w:name="_Toc497311550"/>
      <w:bookmarkStart w:id="36" w:name="_Toc497999119"/>
      <w:bookmarkStart w:id="37" w:name="_Toc498330959"/>
      <w:bookmarkStart w:id="38" w:name="_Toc498619070"/>
      <w:r>
        <w:t xml:space="preserve">Up to two closed loop power control processes </w:t>
      </w:r>
      <w:r w:rsidR="00E332F6">
        <w:t xml:space="preserve">per cell </w:t>
      </w:r>
      <w:r>
        <w:t>was agreed in RAN1</w:t>
      </w:r>
      <w:bookmarkEnd w:id="34"/>
      <w:bookmarkEnd w:id="35"/>
      <w:r w:rsidR="004A35D2">
        <w:t>.</w:t>
      </w:r>
      <w:bookmarkEnd w:id="36"/>
      <w:bookmarkEnd w:id="37"/>
      <w:bookmarkEnd w:id="38"/>
    </w:p>
    <w:p w14:paraId="09E8AA57" w14:textId="7A662D5F" w:rsidR="001B6FA9" w:rsidRDefault="004F1FE2" w:rsidP="002C52DF">
      <w:r>
        <w:t>The power headroom is estimated based on the difference between the maximum allowed transmission power and the actual transmission power. When there are two closed loop power control processes</w:t>
      </w:r>
      <w:r w:rsidR="001B6FA9">
        <w:t xml:space="preserve"> for PUSCH/PUCCH</w:t>
      </w:r>
      <w:r>
        <w:t xml:space="preserve"> in a cell, the</w:t>
      </w:r>
      <w:r w:rsidR="001B6FA9">
        <w:t xml:space="preserve"> power adjustments for</w:t>
      </w:r>
      <w:r>
        <w:t xml:space="preserve"> PUSCH</w:t>
      </w:r>
      <w:r w:rsidR="001B6FA9">
        <w:t>/PUCCH</w:t>
      </w:r>
      <w:r>
        <w:t xml:space="preserve"> transmissions subjected to different closed loop power control </w:t>
      </w:r>
      <w:r w:rsidR="001B6FA9">
        <w:t xml:space="preserve">are different. </w:t>
      </w:r>
      <w:r w:rsidR="00581FC1">
        <w:t>One shared PH for two closed loop power control processes in one cell is infeasible.</w:t>
      </w:r>
    </w:p>
    <w:p w14:paraId="4C06F512" w14:textId="344ACA82" w:rsidR="00E82855" w:rsidRDefault="004A35D2" w:rsidP="002C52DF">
      <w:pPr>
        <w:pStyle w:val="Observation"/>
      </w:pPr>
      <w:bookmarkStart w:id="39" w:name="_Toc497310246"/>
      <w:bookmarkStart w:id="40" w:name="_Toc497311428"/>
      <w:bookmarkStart w:id="41" w:name="_Toc497466253"/>
      <w:bookmarkStart w:id="42" w:name="_Toc497481041"/>
      <w:bookmarkStart w:id="43" w:name="_Toc497999120"/>
      <w:bookmarkStart w:id="44" w:name="_Toc498330960"/>
      <w:bookmarkStart w:id="45" w:name="_Toc498619071"/>
      <w:r>
        <w:t>It is necessary to estimate</w:t>
      </w:r>
      <w:r w:rsidR="001B6FA9">
        <w:t xml:space="preserve"> power headroom per cl</w:t>
      </w:r>
      <w:r w:rsidR="001546BB">
        <w:t>osed loop power control process</w:t>
      </w:r>
      <w:bookmarkEnd w:id="39"/>
      <w:bookmarkEnd w:id="40"/>
      <w:bookmarkEnd w:id="41"/>
      <w:bookmarkEnd w:id="42"/>
      <w:r w:rsidR="00FC4D7E">
        <w:t xml:space="preserve"> in a cell</w:t>
      </w:r>
      <w:r>
        <w:t>.</w:t>
      </w:r>
      <w:bookmarkEnd w:id="43"/>
      <w:bookmarkEnd w:id="44"/>
      <w:bookmarkEnd w:id="45"/>
      <w:r w:rsidR="001B6FA9">
        <w:t xml:space="preserve"> </w:t>
      </w:r>
    </w:p>
    <w:p w14:paraId="368EFCE9" w14:textId="74D98A16" w:rsidR="00272093" w:rsidRDefault="00DF0929" w:rsidP="002C52DF">
      <w:pPr>
        <w:pStyle w:val="BodyText"/>
      </w:pPr>
      <w:r>
        <w:t>In RAN1-90bis, it was agreed that there is only one PUSCH in one slot per cell.</w:t>
      </w:r>
      <w:r w:rsidR="00023AC6">
        <w:t xml:space="preserve"> When a NR cell has two UL carriers</w:t>
      </w:r>
      <w:r w:rsidR="00D03FC1">
        <w:t>, e.g. NR UL carrier and SUL carrier, the only PUSCH in a single slot can be in either UL carrier configured via RRC/MAC/L1 signal.</w:t>
      </w:r>
    </w:p>
    <w:p w14:paraId="752F1748" w14:textId="27DB9E02" w:rsidR="00753C67" w:rsidRDefault="0025641E" w:rsidP="002C52DF">
      <w:pPr>
        <w:pStyle w:val="Observation"/>
      </w:pPr>
      <w:bookmarkStart w:id="46" w:name="_Toc497999121"/>
      <w:bookmarkStart w:id="47" w:name="_Toc498330961"/>
      <w:bookmarkStart w:id="48" w:name="_Toc498619072"/>
      <w:r>
        <w:t>Two s</w:t>
      </w:r>
      <w:r w:rsidR="00753C67">
        <w:t>imultaneous PUSCH transmission</w:t>
      </w:r>
      <w:r w:rsidR="00272093">
        <w:t>s one both SUL carrier and NR UL carrier in a NR cell</w:t>
      </w:r>
      <w:r>
        <w:t xml:space="preserve"> for the same UE is not supported</w:t>
      </w:r>
      <w:r w:rsidR="007E251F">
        <w:t>.</w:t>
      </w:r>
      <w:bookmarkEnd w:id="46"/>
      <w:bookmarkEnd w:id="47"/>
      <w:bookmarkEnd w:id="48"/>
    </w:p>
    <w:p w14:paraId="2F496F32" w14:textId="18B153DC" w:rsidR="00E33071" w:rsidRDefault="00827BDC" w:rsidP="002C52DF">
      <w:pPr>
        <w:pStyle w:val="BodyText"/>
      </w:pPr>
      <w:r>
        <w:t xml:space="preserve">Even though there can be up to two closed loop power control processes per cell, one PUSCH transmission should </w:t>
      </w:r>
      <w:r w:rsidR="00A2308D">
        <w:t xml:space="preserve">be </w:t>
      </w:r>
      <w:r>
        <w:t xml:space="preserve">subject to </w:t>
      </w:r>
      <w:r w:rsidR="00936A21">
        <w:t xml:space="preserve">only </w:t>
      </w:r>
      <w:r>
        <w:t xml:space="preserve">one power control </w:t>
      </w:r>
      <w:r w:rsidR="00553E3A">
        <w:t>p</w:t>
      </w:r>
      <w:r w:rsidR="00936A21">
        <w:t>rocess</w:t>
      </w:r>
      <w:r w:rsidR="00553E3A">
        <w:t>. This means in a single slot, there is only one PH esti</w:t>
      </w:r>
      <w:r w:rsidR="0010615C">
        <w:t xml:space="preserve">mated based on </w:t>
      </w:r>
      <w:r w:rsidR="00553E3A">
        <w:t>PUSCH transmission. The gNB can interpret the PHR based on the reference PUSCH transmission based on which the PH is generated</w:t>
      </w:r>
      <w:r w:rsidR="006B7018">
        <w:t xml:space="preserve">, i.e. the gNB </w:t>
      </w:r>
      <w:r w:rsidR="00BF0BDA">
        <w:t>can determine the correspondence between the closed loop power control process and a PH in PHR based on the PUSCH scheduling information</w:t>
      </w:r>
      <w:r w:rsidR="00553E3A">
        <w:t>. Hence, we see that the current PHR generation and report procedure is still applicable.</w:t>
      </w:r>
    </w:p>
    <w:p w14:paraId="0EAA8236" w14:textId="3E58B7C2" w:rsidR="00676383" w:rsidRPr="00A2308D" w:rsidRDefault="00676383" w:rsidP="002C52DF">
      <w:pPr>
        <w:pStyle w:val="Observation"/>
      </w:pPr>
      <w:bookmarkStart w:id="49" w:name="_Toc498330962"/>
      <w:bookmarkStart w:id="50" w:name="_Toc498619073"/>
      <w:r w:rsidRPr="00A2308D">
        <w:t>The gNB can determine the mapping between a PH and the closed loop power control process based on the reference PUSCH for PH estimation.</w:t>
      </w:r>
      <w:bookmarkEnd w:id="49"/>
      <w:bookmarkEnd w:id="50"/>
    </w:p>
    <w:p w14:paraId="153913EE" w14:textId="2FC24583" w:rsidR="00A86AFD" w:rsidRPr="00A2308D" w:rsidRDefault="007E251F" w:rsidP="002C52DF">
      <w:pPr>
        <w:pStyle w:val="Proposal"/>
      </w:pPr>
      <w:bookmarkStart w:id="51" w:name="_Toc497999114"/>
      <w:bookmarkStart w:id="52" w:name="_Toc498605683"/>
      <w:bookmarkStart w:id="53" w:name="_Toc498619122"/>
      <w:r w:rsidRPr="00A2308D">
        <w:t xml:space="preserve">The support of two closed loop power control </w:t>
      </w:r>
      <w:r w:rsidR="00F543B0" w:rsidRPr="00A2308D">
        <w:t xml:space="preserve">processes </w:t>
      </w:r>
      <w:r w:rsidRPr="00A2308D">
        <w:t>does not affect the existing PHR MAC CE format</w:t>
      </w:r>
      <w:r w:rsidR="009E47E2" w:rsidRPr="00A2308D">
        <w:t>.</w:t>
      </w:r>
      <w:bookmarkEnd w:id="51"/>
      <w:bookmarkEnd w:id="52"/>
      <w:bookmarkEnd w:id="53"/>
    </w:p>
    <w:p w14:paraId="3CFB8BDA" w14:textId="63FEC191" w:rsidR="00AF12F8" w:rsidRDefault="00C36C40" w:rsidP="002C52DF">
      <w:pPr>
        <w:pStyle w:val="BodyText"/>
      </w:pPr>
      <w:r>
        <w:t>T</w:t>
      </w:r>
      <w:r w:rsidR="00E751B4">
        <w:t xml:space="preserve">he </w:t>
      </w:r>
      <w:r w:rsidR="000A42E9">
        <w:t xml:space="preserve">propagation </w:t>
      </w:r>
      <w:r w:rsidR="003F3DF4">
        <w:t>loss</w:t>
      </w:r>
      <w:r w:rsidR="00E751B4">
        <w:t xml:space="preserve"> difference</w:t>
      </w:r>
      <w:r w:rsidR="003F3DF4">
        <w:t xml:space="preserve"> </w:t>
      </w:r>
      <w:r w:rsidR="00E751B4">
        <w:t xml:space="preserve">between NR UL carrier and SUL carrier can be very large because the propagation loss is </w:t>
      </w:r>
      <w:r>
        <w:t xml:space="preserve">roughly </w:t>
      </w:r>
      <w:r w:rsidR="00E751B4">
        <w:t>in</w:t>
      </w:r>
      <w:r w:rsidR="009E780E">
        <w:t xml:space="preserve"> proportion to </w:t>
      </w:r>
      <w:r w:rsidR="00E751B4">
        <w:t>the square of carrier frequency</w:t>
      </w:r>
      <w:r w:rsidR="003F3DF4">
        <w:t>.</w:t>
      </w:r>
      <w:r w:rsidR="00FD536B">
        <w:t xml:space="preserve"> It may be suboptimal to apply the same PHR triggering condition for different UL carriers. It would be preferred that NR provide a method to differentiate </w:t>
      </w:r>
      <w:r w:rsidR="008F4CF3">
        <w:t>PHR triggering conditions for SUL carrie</w:t>
      </w:r>
      <w:r w:rsidR="00714DD0">
        <w:t>r and NR UL carrier in one cell, i.e. one PHR triggering setting for SUL carrier and the other for NR UL carrier.</w:t>
      </w:r>
    </w:p>
    <w:p w14:paraId="253309B0" w14:textId="22FCDA7D" w:rsidR="00714DD0" w:rsidRDefault="00FC3D90" w:rsidP="002C52DF">
      <w:pPr>
        <w:pStyle w:val="Proposal"/>
      </w:pPr>
      <w:bookmarkStart w:id="54" w:name="_Toc497999115"/>
      <w:bookmarkStart w:id="55" w:name="_Toc498605684"/>
      <w:bookmarkStart w:id="56" w:name="_Toc497310247"/>
      <w:bookmarkStart w:id="57" w:name="_Toc497311429"/>
      <w:bookmarkStart w:id="58" w:name="_Toc497466254"/>
      <w:bookmarkStart w:id="59" w:name="_Toc497481042"/>
      <w:bookmarkStart w:id="60" w:name="_Toc498619123"/>
      <w:r>
        <w:t>NR support</w:t>
      </w:r>
      <w:r w:rsidR="00582E27">
        <w:t>s separate</w:t>
      </w:r>
      <w:r>
        <w:t xml:space="preserve"> PHR </w:t>
      </w:r>
      <w:r w:rsidR="00EB6DBF">
        <w:t>triggering settings</w:t>
      </w:r>
      <w:r w:rsidR="00582E27">
        <w:t xml:space="preserve"> (e.g. </w:t>
      </w:r>
      <w:r w:rsidR="00582E27" w:rsidRPr="00571E09">
        <w:rPr>
          <w:i/>
        </w:rPr>
        <w:t>dlPathLossChange</w:t>
      </w:r>
      <w:r w:rsidR="00582E27">
        <w:rPr>
          <w:i/>
        </w:rPr>
        <w:t>)</w:t>
      </w:r>
      <w:r w:rsidR="00582E27">
        <w:t xml:space="preserve"> for</w:t>
      </w:r>
      <w:r>
        <w:t xml:space="preserve"> </w:t>
      </w:r>
      <w:r w:rsidR="00582E27">
        <w:t>SUL carrier and NR UL carrier in one cell.</w:t>
      </w:r>
      <w:bookmarkEnd w:id="54"/>
      <w:bookmarkEnd w:id="55"/>
      <w:bookmarkEnd w:id="56"/>
      <w:bookmarkEnd w:id="57"/>
      <w:bookmarkEnd w:id="58"/>
      <w:bookmarkEnd w:id="59"/>
      <w:bookmarkEnd w:id="60"/>
    </w:p>
    <w:p w14:paraId="5DAE440F" w14:textId="41F41169" w:rsidR="00CD7DBA" w:rsidRDefault="00714DD0" w:rsidP="002C52DF">
      <w:pPr>
        <w:pStyle w:val="BodyText"/>
      </w:pPr>
      <w:r>
        <w:t xml:space="preserve">For a UE in cell centre, the UE can be served by NR UL carrier to benefit from huge carrier bandwidth since the radio quality can be good enough though the NR UL carrier can be high carrier frequency. When the UE moves to the poor radio quality position, the UE can be switched from NR UL carrier to SUL carrier to ensure the coverage via carrier activation/deactivation procedure. As the UL carrier switch, the PHR based on the old carrier is no longer applicable for the new carrier, </w:t>
      </w:r>
      <w:r w:rsidR="00401020">
        <w:t xml:space="preserve">and </w:t>
      </w:r>
      <w:r>
        <w:t>PHR should be trigger</w:t>
      </w:r>
      <w:r w:rsidR="00401020">
        <w:t>ed</w:t>
      </w:r>
      <w:r>
        <w:t xml:space="preserve"> for the new carrier so that the gNB can allocate UL grant properly.</w:t>
      </w:r>
    </w:p>
    <w:p w14:paraId="6E945A58" w14:textId="2D980526" w:rsidR="00714DD0" w:rsidRPr="00A2308D" w:rsidRDefault="00714DD0" w:rsidP="002C52DF">
      <w:pPr>
        <w:pStyle w:val="Proposal"/>
      </w:pPr>
      <w:bookmarkStart w:id="61" w:name="_Toc498605685"/>
      <w:bookmarkStart w:id="62" w:name="_Toc498619124"/>
      <w:r>
        <w:t xml:space="preserve">PHR is triggered at carrier switch </w:t>
      </w:r>
      <w:r w:rsidR="001E2FA7">
        <w:t>between SUL carrier and NR UL carrier</w:t>
      </w:r>
      <w:bookmarkEnd w:id="61"/>
      <w:bookmarkEnd w:id="62"/>
      <w:r w:rsidR="001E2FA7">
        <w:t xml:space="preserve"> </w:t>
      </w:r>
    </w:p>
    <w:p w14:paraId="1C396FCD" w14:textId="77777777" w:rsidR="009027BD" w:rsidRPr="00091D30" w:rsidRDefault="009027BD" w:rsidP="009027BD">
      <w:pPr>
        <w:pStyle w:val="Heading2"/>
        <w:rPr>
          <w:lang w:val="en-US" w:eastAsia="ko-KR"/>
        </w:rPr>
      </w:pPr>
      <w:r w:rsidRPr="00091D30">
        <w:rPr>
          <w:lang w:val="en-US" w:eastAsia="ko-KR"/>
        </w:rPr>
        <w:t>Further aspects</w:t>
      </w:r>
    </w:p>
    <w:p w14:paraId="6282BDF9" w14:textId="77777777" w:rsidR="009027BD" w:rsidRPr="00091D30" w:rsidRDefault="009027BD" w:rsidP="009027BD">
      <w:pPr>
        <w:pStyle w:val="Heading3"/>
        <w:rPr>
          <w:lang w:val="en-US" w:eastAsia="ko-KR"/>
        </w:rPr>
      </w:pPr>
      <w:r w:rsidRPr="00091D30">
        <w:rPr>
          <w:lang w:val="en-US" w:eastAsia="ko-KR"/>
        </w:rPr>
        <w:t>PHR with multiple numerologies</w:t>
      </w:r>
    </w:p>
    <w:p w14:paraId="4CBEE3A1" w14:textId="1A2AF735" w:rsidR="009027BD" w:rsidRPr="00091D30" w:rsidRDefault="009027BD" w:rsidP="009027BD">
      <w:pPr>
        <w:rPr>
          <w:lang w:val="en-US"/>
        </w:rPr>
      </w:pPr>
      <w:r w:rsidRPr="00091D30">
        <w:rPr>
          <w:lang w:val="en-US" w:eastAsia="ko-KR"/>
        </w:rPr>
        <w:t xml:space="preserve">In LTE, an extended PHR may include PHs for multiple active serving cells. This PHR can be transmitted on any one of active serving cell. In NR, each serving cell in CA may be configured with different numerology/TTI duration, this means that a single PHR may include PHs for multiple serving cells with different numerologies. Even within the same component carrier, it has been agreed in </w:t>
      </w:r>
      <w:r w:rsidRPr="00091D30">
        <w:rPr>
          <w:bCs/>
          <w:lang w:val="en-US"/>
        </w:rPr>
        <w:t xml:space="preserve">#RAN1 </w:t>
      </w:r>
      <w:r w:rsidRPr="00091D30">
        <w:rPr>
          <w:lang w:val="en-US"/>
        </w:rPr>
        <w:t xml:space="preserve">Ad Hoc held on 27th – 29th June 2017, that different BWPs can be configured, and each BWP </w:t>
      </w:r>
      <w:r w:rsidR="006D5433">
        <w:rPr>
          <w:lang w:val="en-US"/>
        </w:rPr>
        <w:t>could be configured with</w:t>
      </w:r>
      <w:r w:rsidRPr="00091D30">
        <w:rPr>
          <w:lang w:val="en-US"/>
        </w:rPr>
        <w:t xml:space="preserve"> </w:t>
      </w:r>
      <w:r w:rsidR="006D5433">
        <w:rPr>
          <w:lang w:val="en-US"/>
        </w:rPr>
        <w:t xml:space="preserve">a </w:t>
      </w:r>
      <w:r w:rsidRPr="00091D30">
        <w:rPr>
          <w:lang w:val="en-US"/>
        </w:rPr>
        <w:t xml:space="preserve">certain numerology. </w:t>
      </w:r>
    </w:p>
    <w:p w14:paraId="522F8016" w14:textId="3598412F" w:rsidR="009027BD" w:rsidRPr="00091D30" w:rsidRDefault="009027BD" w:rsidP="009027BD">
      <w:pPr>
        <w:rPr>
          <w:lang w:val="en-US" w:eastAsia="ko-KR"/>
        </w:rPr>
      </w:pPr>
      <w:r w:rsidRPr="00091D30">
        <w:rPr>
          <w:lang w:val="en-US" w:eastAsia="ko-KR"/>
        </w:rPr>
        <w:t xml:space="preserve">Here we see </w:t>
      </w:r>
      <w:r w:rsidR="00C47469">
        <w:rPr>
          <w:lang w:val="en-US" w:eastAsia="ko-KR"/>
        </w:rPr>
        <w:t>two</w:t>
      </w:r>
      <w:r w:rsidR="00C47469" w:rsidRPr="00091D30">
        <w:rPr>
          <w:lang w:val="en-US" w:eastAsia="ko-KR"/>
        </w:rPr>
        <w:t xml:space="preserve"> </w:t>
      </w:r>
      <w:r w:rsidRPr="00091D30">
        <w:rPr>
          <w:lang w:val="en-US" w:eastAsia="ko-KR"/>
        </w:rPr>
        <w:t>relevant questions</w:t>
      </w:r>
    </w:p>
    <w:p w14:paraId="0351BBB7" w14:textId="77777777" w:rsidR="009027BD" w:rsidRPr="00091D30" w:rsidRDefault="009027BD" w:rsidP="009027BD">
      <w:pPr>
        <w:pStyle w:val="ListParagraph"/>
        <w:numPr>
          <w:ilvl w:val="0"/>
          <w:numId w:val="35"/>
        </w:numPr>
        <w:rPr>
          <w:i/>
          <w:lang w:val="en-US" w:eastAsia="ko-KR"/>
        </w:rPr>
      </w:pPr>
      <w:r w:rsidRPr="00091D30">
        <w:rPr>
          <w:i/>
          <w:lang w:val="en-US" w:eastAsia="ko-KR"/>
        </w:rPr>
        <w:t>For CA, how to report a PHR in case multiple numerologies? i.e., which cell to send a PHR (PHR includes PHs for multiple service cells with different numerologies configured)</w:t>
      </w:r>
    </w:p>
    <w:p w14:paraId="719B0849" w14:textId="77777777" w:rsidR="009027BD" w:rsidRPr="00091D30" w:rsidRDefault="009027BD" w:rsidP="009027BD">
      <w:pPr>
        <w:pStyle w:val="ListParagraph"/>
        <w:numPr>
          <w:ilvl w:val="0"/>
          <w:numId w:val="35"/>
        </w:numPr>
        <w:rPr>
          <w:i/>
          <w:lang w:val="en-US" w:eastAsia="ko-KR"/>
        </w:rPr>
      </w:pPr>
      <w:r w:rsidRPr="00091D30">
        <w:rPr>
          <w:i/>
          <w:lang w:val="en-US" w:eastAsia="ko-KR"/>
        </w:rPr>
        <w:t>Is it necessary to apply numerology/BWP specific PHR configuration?</w:t>
      </w:r>
    </w:p>
    <w:p w14:paraId="4CC9ABA8" w14:textId="3B1AF66F" w:rsidR="00D56379" w:rsidRDefault="00B02635" w:rsidP="009027BD">
      <w:pPr>
        <w:rPr>
          <w:lang w:val="en-US"/>
        </w:rPr>
      </w:pPr>
      <w:r>
        <w:rPr>
          <w:lang w:val="en-US"/>
        </w:rPr>
        <w:t>W</w:t>
      </w:r>
      <w:r w:rsidR="009027BD" w:rsidRPr="00091D30">
        <w:rPr>
          <w:lang w:val="en-US"/>
        </w:rPr>
        <w:t>e think it is sufficient to reuse LTE rules as we do</w:t>
      </w:r>
      <w:r w:rsidR="00401020">
        <w:rPr>
          <w:lang w:val="en-US"/>
        </w:rPr>
        <w:t xml:space="preserve"> </w:t>
      </w:r>
      <w:r w:rsidR="009027BD" w:rsidRPr="00091D30">
        <w:rPr>
          <w:lang w:val="en-US"/>
        </w:rPr>
        <w:t>n</w:t>
      </w:r>
      <w:r w:rsidR="00401020">
        <w:rPr>
          <w:lang w:val="en-US"/>
        </w:rPr>
        <w:t>o</w:t>
      </w:r>
      <w:r w:rsidR="009027BD" w:rsidRPr="00091D30">
        <w:rPr>
          <w:lang w:val="en-US"/>
        </w:rPr>
        <w:t xml:space="preserve">t think the gNB scheduler and LA are so sensitive to latency. The network is aware of the numerology which is associated with each serving cell. Upon reception of the PHR, the network can interpret PHR accordingly, i.e., the power headroom situation when PHR is transmitted at the time (beginning of the TTI, that used to transmit PHR) for each serving cell. </w:t>
      </w:r>
      <w:r w:rsidR="00D56379">
        <w:rPr>
          <w:lang w:val="en-US"/>
        </w:rPr>
        <w:t>RAN1 has also agreed that NR supports single active BWP configured per UE. The UE may change its active BWP from time to time. Th</w:t>
      </w:r>
      <w:r w:rsidR="00401020">
        <w:rPr>
          <w:lang w:val="en-US"/>
        </w:rPr>
        <w:t>is</w:t>
      </w:r>
      <w:r w:rsidR="00D56379">
        <w:rPr>
          <w:lang w:val="en-US"/>
        </w:rPr>
        <w:t xml:space="preserve"> does</w:t>
      </w:r>
      <w:r w:rsidR="00401020">
        <w:rPr>
          <w:lang w:val="en-US"/>
        </w:rPr>
        <w:t xml:space="preserve"> </w:t>
      </w:r>
      <w:r w:rsidR="00D56379">
        <w:rPr>
          <w:lang w:val="en-US"/>
        </w:rPr>
        <w:t>n</w:t>
      </w:r>
      <w:r w:rsidR="00401020">
        <w:rPr>
          <w:lang w:val="en-US"/>
        </w:rPr>
        <w:t>o</w:t>
      </w:r>
      <w:r w:rsidR="00D56379">
        <w:rPr>
          <w:lang w:val="en-US"/>
        </w:rPr>
        <w:t>t affect the PHR report. In other words, the NR UE reports PHR as that in LTE, i.e., report a single PHR for every serving cell. The PH value can be calculated based on the power allocation associated with the active BWP.</w:t>
      </w:r>
    </w:p>
    <w:p w14:paraId="6A1306B4" w14:textId="2BDCB2F2" w:rsidR="009027BD" w:rsidRPr="00091D30" w:rsidRDefault="009027BD" w:rsidP="009027BD">
      <w:pPr>
        <w:rPr>
          <w:lang w:val="en-US"/>
        </w:rPr>
      </w:pPr>
      <w:r w:rsidRPr="00091D30">
        <w:rPr>
          <w:lang w:val="en-US"/>
        </w:rPr>
        <w:t>Therefore, it is sufficient to apply LTE PHR format and trigger in this case.</w:t>
      </w:r>
    </w:p>
    <w:p w14:paraId="34F16FEB" w14:textId="6D9D91E5" w:rsidR="009027BD" w:rsidRDefault="000C4D76" w:rsidP="002C52DF">
      <w:pPr>
        <w:pStyle w:val="Proposal"/>
      </w:pPr>
      <w:bookmarkStart w:id="63" w:name="_Toc487637990"/>
      <w:bookmarkStart w:id="64" w:name="_Toc487639652"/>
      <w:bookmarkStart w:id="65" w:name="_Toc489822814"/>
      <w:bookmarkStart w:id="66" w:name="_Toc489822868"/>
      <w:bookmarkStart w:id="67" w:name="_Toc489970237"/>
      <w:bookmarkStart w:id="68" w:name="_Toc489988185"/>
      <w:bookmarkStart w:id="69" w:name="_Toc490048805"/>
      <w:bookmarkStart w:id="70" w:name="_Toc490059829"/>
      <w:bookmarkStart w:id="71" w:name="_Toc490120704"/>
      <w:bookmarkStart w:id="72" w:name="_Toc490217830"/>
      <w:bookmarkStart w:id="73" w:name="_Toc494178893"/>
      <w:bookmarkStart w:id="74" w:name="_Toc494203928"/>
      <w:bookmarkStart w:id="75" w:name="_Toc494275256"/>
      <w:bookmarkStart w:id="76" w:name="_Toc494275580"/>
      <w:bookmarkStart w:id="77" w:name="_Toc494280392"/>
      <w:bookmarkStart w:id="78" w:name="_Toc494280441"/>
      <w:bookmarkStart w:id="79" w:name="_Toc494280718"/>
      <w:bookmarkStart w:id="80" w:name="_Toc494360732"/>
      <w:bookmarkStart w:id="81" w:name="_Toc494394784"/>
      <w:bookmarkStart w:id="82" w:name="_Toc494399389"/>
      <w:bookmarkStart w:id="83" w:name="_Toc497310254"/>
      <w:bookmarkStart w:id="84" w:name="_Toc497311436"/>
      <w:bookmarkStart w:id="85" w:name="_Toc497466261"/>
      <w:bookmarkStart w:id="86" w:name="_Toc497481049"/>
      <w:bookmarkStart w:id="87" w:name="_Toc497999116"/>
      <w:bookmarkStart w:id="88" w:name="_Toc498605686"/>
      <w:bookmarkStart w:id="89" w:name="_Toc498619125"/>
      <w:r w:rsidRPr="00091D30">
        <w:rPr>
          <w:lang w:eastAsia="ko-KR"/>
        </w:rPr>
        <w:t>The support of multiple numerologies/BWPs does not impact PHR format and trigger</w:t>
      </w:r>
      <w:bookmarkEnd w:id="63"/>
      <w:bookmarkEnd w:id="64"/>
      <w:bookmarkEnd w:id="65"/>
      <w:bookmarkEnd w:id="66"/>
      <w:bookmarkEnd w:id="67"/>
      <w:bookmarkEnd w:id="68"/>
      <w:bookmarkEnd w:id="69"/>
      <w:bookmarkEnd w:id="70"/>
      <w:bookmarkEnd w:id="71"/>
      <w:r w:rsidR="006D5433">
        <w:rPr>
          <w:lang w:eastAsia="ko-KR"/>
        </w:rPr>
        <w:t>s</w:t>
      </w:r>
      <w:r w:rsidR="009027BD" w:rsidRPr="00091D30">
        <w:t>.</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3EDB3EA1" w14:textId="77777777" w:rsidR="009027BD" w:rsidRPr="00091D30" w:rsidRDefault="009027BD" w:rsidP="009027BD">
      <w:pPr>
        <w:pStyle w:val="Heading3"/>
        <w:rPr>
          <w:lang w:val="en-US" w:eastAsia="ko-KR"/>
        </w:rPr>
      </w:pPr>
      <w:r w:rsidRPr="00091D30">
        <w:rPr>
          <w:lang w:val="en-US" w:eastAsia="ko-KR"/>
        </w:rPr>
        <w:t>PHR with beam switch</w:t>
      </w:r>
    </w:p>
    <w:p w14:paraId="7BFE6F17" w14:textId="77777777" w:rsidR="009027BD" w:rsidRPr="00091D30" w:rsidRDefault="009027BD" w:rsidP="009027BD">
      <w:pPr>
        <w:rPr>
          <w:rFonts w:eastAsia="Malgun Gothic"/>
          <w:lang w:val="en-US"/>
        </w:rPr>
      </w:pPr>
      <w:r w:rsidRPr="00091D30">
        <w:rPr>
          <w:rFonts w:eastAsia="Calibri Light"/>
          <w:lang w:val="en-US"/>
        </w:rPr>
        <w:t xml:space="preserve">A UE may be connected to multi-beams for enhanced bit rate or improved transmission reliability. </w:t>
      </w:r>
      <w:r w:rsidRPr="00091D30">
        <w:rPr>
          <w:rFonts w:eastAsia="Malgun Gothic"/>
          <w:lang w:val="en-US"/>
        </w:rPr>
        <w:t xml:space="preserve">RAN1 has already agreed that NR supports </w:t>
      </w:r>
      <w:r w:rsidRPr="00091D30">
        <w:rPr>
          <w:rFonts w:eastAsia="MS Mincho"/>
          <w:lang w:val="en-US"/>
        </w:rPr>
        <w:t xml:space="preserve">beam specific power control. The exact details on what this means are yet to be agreed upon but it is clear that it at least implies that the UE will maintain one path loss estimation per beam and it will be up to the gNB, or alternatively gNB and UE jointly, to define the set of monitored beams. The network will use one of these beams for PUSCH transmission and it will also decide when to change to another beam upon reception of UE measurements. </w:t>
      </w:r>
    </w:p>
    <w:p w14:paraId="6AF8C5EE" w14:textId="086E5E80" w:rsidR="009027BD" w:rsidRPr="00091D30" w:rsidRDefault="009027BD" w:rsidP="009027BD">
      <w:pPr>
        <w:rPr>
          <w:lang w:val="en-US"/>
        </w:rPr>
      </w:pPr>
      <w:r w:rsidRPr="00091D30">
        <w:rPr>
          <w:rFonts w:eastAsia="Malgun Gothic"/>
          <w:lang w:val="en-US"/>
        </w:rPr>
        <w:t xml:space="preserve">We see </w:t>
      </w:r>
      <w:r w:rsidRPr="00091D30">
        <w:rPr>
          <w:lang w:val="en-US"/>
        </w:rPr>
        <w:t xml:space="preserve">there are two options for PHR report with </w:t>
      </w:r>
      <w:r w:rsidRPr="00091D30">
        <w:rPr>
          <w:rFonts w:eastAsia="MS Mincho"/>
          <w:lang w:val="en-US"/>
        </w:rPr>
        <w:t>respect to beam specific power control</w:t>
      </w:r>
      <w:r w:rsidR="004052B7">
        <w:rPr>
          <w:lang w:val="en-US"/>
        </w:rPr>
        <w:t>.</w:t>
      </w:r>
    </w:p>
    <w:p w14:paraId="64CE2FF9" w14:textId="77777777" w:rsidR="009027BD" w:rsidRPr="00091D30" w:rsidRDefault="009027BD" w:rsidP="009027BD">
      <w:pPr>
        <w:rPr>
          <w:lang w:val="en-US"/>
        </w:rPr>
      </w:pPr>
      <w:r w:rsidRPr="00091D30">
        <w:rPr>
          <w:lang w:val="en-US"/>
        </w:rPr>
        <w:t>Option 1: the UE reports a PHR per beam</w:t>
      </w:r>
    </w:p>
    <w:p w14:paraId="55134EAE" w14:textId="77777777" w:rsidR="009027BD" w:rsidRPr="00091D30" w:rsidRDefault="009027BD" w:rsidP="009027BD">
      <w:pPr>
        <w:rPr>
          <w:lang w:val="en-US"/>
        </w:rPr>
      </w:pPr>
      <w:r w:rsidRPr="00091D30">
        <w:rPr>
          <w:lang w:val="en-US"/>
        </w:rPr>
        <w:t>Option 2: the UE only reports PHR for the beam used for PUSCH transmission</w:t>
      </w:r>
    </w:p>
    <w:p w14:paraId="60BE4047" w14:textId="77777777" w:rsidR="009027BD" w:rsidRPr="00091D30" w:rsidRDefault="009027BD" w:rsidP="009027BD">
      <w:pPr>
        <w:rPr>
          <w:lang w:val="en-US"/>
        </w:rPr>
      </w:pPr>
      <w:r w:rsidRPr="00091D30">
        <w:rPr>
          <w:lang w:val="en-US"/>
        </w:rPr>
        <w:t xml:space="preserve">In Option 1, the UE would report PHRs for every beam although including also those currently not used for PUSCH transmission. The network then would hence obtain more information </w:t>
      </w:r>
      <w:r>
        <w:rPr>
          <w:lang w:val="en-US"/>
        </w:rPr>
        <w:t>f</w:t>
      </w:r>
      <w:r w:rsidRPr="00091D30">
        <w:rPr>
          <w:lang w:val="en-US"/>
        </w:rPr>
        <w:t>r</w:t>
      </w:r>
      <w:r>
        <w:rPr>
          <w:lang w:val="en-US"/>
        </w:rPr>
        <w:t>o</w:t>
      </w:r>
      <w:r w:rsidRPr="00091D30">
        <w:rPr>
          <w:lang w:val="en-US"/>
        </w:rPr>
        <w:t xml:space="preserve">m PHR than that with Option 2. However, this additional information from non-used beams may be of limited use since the main purpose of PHR is to adopt the link adaptation for PUSCH transmission. At the same time, Option 1 may lead to unnecessary PHR overhead and require changes to the PHR format. Option 2 would on the other hand generate relevant PHR reports and we therefore find it more reasonable. It can use the same LTE PHR format and trigger. The </w:t>
      </w:r>
      <w:r w:rsidRPr="00091D30">
        <w:rPr>
          <w:rFonts w:eastAsia="MS Mincho"/>
          <w:lang w:val="en-US"/>
        </w:rPr>
        <w:t>gNB is aware of the serving beam that the UE uses at the TTI when the PHR was sent. Upon reception of a PHR, the gNB interprets the power headroom information for the associated beam.</w:t>
      </w:r>
    </w:p>
    <w:p w14:paraId="7DB4C02D" w14:textId="77777777" w:rsidR="009027BD" w:rsidRPr="00091D30" w:rsidRDefault="009027BD" w:rsidP="009027BD">
      <w:pPr>
        <w:rPr>
          <w:lang w:val="en-US"/>
        </w:rPr>
      </w:pPr>
      <w:r w:rsidRPr="00091D30">
        <w:rPr>
          <w:rFonts w:eastAsia="Calibri Light"/>
          <w:lang w:val="en-US"/>
        </w:rPr>
        <w:t>For</w:t>
      </w:r>
      <w:r w:rsidRPr="00091D30">
        <w:rPr>
          <w:rFonts w:eastAsia="Malgun Gothic"/>
          <w:lang w:val="en-US"/>
        </w:rPr>
        <w:t xml:space="preserve"> beamforming-based transmissions, the pathloss may experience a sudden fluctuation due to frequent blockage as well as the change of serving beam. For Option 2 such a situation would imply</w:t>
      </w:r>
      <w:r w:rsidRPr="00091D30">
        <w:rPr>
          <w:lang w:val="en-US"/>
        </w:rPr>
        <w:t>, in the case of a beam switch, that the UE measures on the new beam but the reference measurement is from the old beam. If the DL PL change (referred to as “</w:t>
      </w:r>
      <w:r w:rsidRPr="00091D30">
        <w:rPr>
          <w:i/>
          <w:lang w:val="en-US"/>
        </w:rPr>
        <w:t>dl-PathlossChange</w:t>
      </w:r>
      <w:r w:rsidRPr="00091D30">
        <w:rPr>
          <w:lang w:val="en-US"/>
        </w:rPr>
        <w:t xml:space="preserve">”) becomes more </w:t>
      </w:r>
      <w:r w:rsidRPr="00091D30">
        <w:rPr>
          <w:color w:val="000000" w:themeColor="text1"/>
          <w:lang w:val="en-US" w:eastAsia="x-none"/>
        </w:rPr>
        <w:t xml:space="preserve">than </w:t>
      </w:r>
      <w:r w:rsidRPr="00091D30">
        <w:rPr>
          <w:i/>
          <w:color w:val="000000" w:themeColor="text1"/>
          <w:lang w:val="en-US" w:eastAsia="x-none"/>
        </w:rPr>
        <w:t>dl-PathlossChange</w:t>
      </w:r>
      <w:r w:rsidRPr="00091D30">
        <w:rPr>
          <w:color w:val="000000" w:themeColor="text1"/>
          <w:lang w:val="en-US" w:eastAsia="x-none"/>
        </w:rPr>
        <w:t xml:space="preserve"> dB</w:t>
      </w:r>
      <w:r w:rsidRPr="00091D30">
        <w:rPr>
          <w:lang w:val="en-US"/>
        </w:rPr>
        <w:t xml:space="preserve"> when switching beam, a new PHR would be triggered. This example explains how the beam switches would operate based on the LTE PHR format and trigger. From this example, it is also indicated that the subsequent DL PL measurements used in the PHR triggers may be from different serving beams. </w:t>
      </w:r>
    </w:p>
    <w:p w14:paraId="1A3D7D21" w14:textId="15A9321B" w:rsidR="009027BD" w:rsidRPr="00091D30" w:rsidRDefault="009027BD" w:rsidP="002C52DF">
      <w:pPr>
        <w:pStyle w:val="Observation"/>
      </w:pPr>
      <w:bookmarkStart w:id="90" w:name="_Toc490048809"/>
      <w:bookmarkStart w:id="91" w:name="_Toc490217815"/>
      <w:bookmarkStart w:id="92" w:name="_Toc494178898"/>
      <w:bookmarkStart w:id="93" w:name="_Toc494279782"/>
      <w:bookmarkStart w:id="94" w:name="_Toc494360721"/>
      <w:bookmarkStart w:id="95" w:name="_Toc494394778"/>
      <w:bookmarkStart w:id="96" w:name="_Toc494399393"/>
      <w:bookmarkStart w:id="97" w:name="_Toc497310415"/>
      <w:bookmarkStart w:id="98" w:name="_Toc497999122"/>
      <w:bookmarkStart w:id="99" w:name="_Toc498330963"/>
      <w:bookmarkStart w:id="100" w:name="_Toc498619074"/>
      <w:r w:rsidRPr="00091D30">
        <w:t>When evaluating if a PHR can be trigger during the beam switch, the UE MAC entity may compare PL measurements between different beams (i.e. the measurement on a new beam but the reference measurement is from the old beam).</w:t>
      </w:r>
      <w:bookmarkStart w:id="101" w:name="_Toc497311551"/>
      <w:r w:rsidRPr="00091D30">
        <w:t xml:space="preserve"> In other words, the LTE parameter “</w:t>
      </w:r>
      <w:r w:rsidRPr="00091D30">
        <w:rPr>
          <w:i/>
        </w:rPr>
        <w:t>dl-PathlossChange</w:t>
      </w:r>
      <w:r w:rsidRPr="00091D30">
        <w:t>” is sufficient for PHR during beam-switches</w:t>
      </w:r>
      <w:bookmarkEnd w:id="90"/>
      <w:r w:rsidRPr="00091D30">
        <w:t>.</w:t>
      </w:r>
      <w:bookmarkEnd w:id="91"/>
      <w:bookmarkEnd w:id="92"/>
      <w:bookmarkEnd w:id="93"/>
      <w:bookmarkEnd w:id="94"/>
      <w:bookmarkEnd w:id="95"/>
      <w:bookmarkEnd w:id="96"/>
      <w:bookmarkEnd w:id="97"/>
      <w:bookmarkEnd w:id="98"/>
      <w:bookmarkEnd w:id="99"/>
      <w:bookmarkEnd w:id="100"/>
      <w:bookmarkEnd w:id="101"/>
    </w:p>
    <w:p w14:paraId="43F61B5A" w14:textId="77777777" w:rsidR="009027BD" w:rsidRPr="00091D30" w:rsidRDefault="009027BD" w:rsidP="009027BD">
      <w:pPr>
        <w:rPr>
          <w:lang w:val="en-US"/>
        </w:rPr>
      </w:pPr>
      <w:r w:rsidRPr="00091D30">
        <w:rPr>
          <w:lang w:val="en-US"/>
        </w:rPr>
        <w:t>Hence, it is suggested that</w:t>
      </w:r>
    </w:p>
    <w:p w14:paraId="538426A8" w14:textId="1C1339CA" w:rsidR="009027BD" w:rsidRPr="008737B6" w:rsidRDefault="00953582" w:rsidP="002C52DF">
      <w:pPr>
        <w:pStyle w:val="Proposal"/>
      </w:pPr>
      <w:bookmarkStart w:id="102" w:name="_Toc489988187"/>
      <w:bookmarkStart w:id="103" w:name="_Toc490048807"/>
      <w:bookmarkStart w:id="104" w:name="_Toc490059831"/>
      <w:bookmarkStart w:id="105" w:name="_Toc490120706"/>
      <w:bookmarkStart w:id="106" w:name="_Toc490217832"/>
      <w:bookmarkStart w:id="107" w:name="_Toc494178895"/>
      <w:bookmarkStart w:id="108" w:name="_Toc494203930"/>
      <w:bookmarkStart w:id="109" w:name="_Toc494275258"/>
      <w:bookmarkStart w:id="110" w:name="_Toc494275582"/>
      <w:bookmarkStart w:id="111" w:name="_Toc494280394"/>
      <w:bookmarkStart w:id="112" w:name="_Toc494280443"/>
      <w:bookmarkStart w:id="113" w:name="_Toc494280720"/>
      <w:bookmarkStart w:id="114" w:name="_Toc494360734"/>
      <w:bookmarkStart w:id="115" w:name="_Toc494394786"/>
      <w:bookmarkStart w:id="116" w:name="_Toc494399391"/>
      <w:bookmarkStart w:id="117" w:name="_Toc497310256"/>
      <w:bookmarkStart w:id="118" w:name="_Toc497311438"/>
      <w:bookmarkStart w:id="119" w:name="_Toc497466263"/>
      <w:bookmarkStart w:id="120" w:name="_Toc497481050"/>
      <w:bookmarkStart w:id="121" w:name="_Toc497999117"/>
      <w:bookmarkStart w:id="122" w:name="_Toc498605687"/>
      <w:bookmarkStart w:id="123" w:name="_Toc498619126"/>
      <w:r>
        <w:t>I</w:t>
      </w:r>
      <w:r w:rsidR="007B27DC">
        <w:t xml:space="preserve">t is unnecessary </w:t>
      </w:r>
      <w:r w:rsidR="009027BD" w:rsidRPr="00091D30">
        <w:t>to update PHR format and trigger with respect to the change of serving beams</w:t>
      </w:r>
      <w:bookmarkEnd w:id="102"/>
      <w:bookmarkEnd w:id="103"/>
      <w:bookmarkEnd w:id="104"/>
      <w:bookmarkEnd w:id="105"/>
      <w:r w:rsidR="009027BD">
        <w:t>.</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bookmarkEnd w:id="32"/>
    <w:bookmarkEnd w:id="33"/>
    <w:p w14:paraId="0FCBE881" w14:textId="77777777" w:rsidR="009027BD" w:rsidRPr="00091D30" w:rsidRDefault="009027BD" w:rsidP="009027BD">
      <w:pPr>
        <w:pStyle w:val="Heading1"/>
        <w:rPr>
          <w:lang w:val="en-US"/>
        </w:rPr>
      </w:pPr>
      <w:r w:rsidRPr="00091D30">
        <w:rPr>
          <w:lang w:val="en-US"/>
        </w:rPr>
        <w:t>Conclusion</w:t>
      </w:r>
    </w:p>
    <w:p w14:paraId="3274605E" w14:textId="4FA37904" w:rsidR="002C52DF" w:rsidRPr="00091D30" w:rsidRDefault="009027BD" w:rsidP="002C52DF">
      <w:pPr>
        <w:pStyle w:val="BodyText"/>
        <w:rPr>
          <w:b/>
          <w:bCs/>
          <w:lang w:val="en-US"/>
        </w:rPr>
      </w:pPr>
      <w:r w:rsidRPr="00384888">
        <w:t xml:space="preserve">In section </w:t>
      </w:r>
      <w:r w:rsidRPr="00384888">
        <w:rPr>
          <w:b/>
          <w:highlight w:val="cyan"/>
        </w:rPr>
        <w:fldChar w:fldCharType="begin"/>
      </w:r>
      <w:r w:rsidRPr="00384888">
        <w:instrText xml:space="preserve"> REF _Ref178064866 \r \h </w:instrText>
      </w:r>
      <w:r w:rsidRPr="00384888">
        <w:rPr>
          <w:highlight w:val="cyan"/>
        </w:rPr>
        <w:instrText xml:space="preserve"> \* MERGEFORMAT </w:instrText>
      </w:r>
      <w:r w:rsidRPr="00384888">
        <w:rPr>
          <w:b/>
          <w:highlight w:val="cyan"/>
        </w:rPr>
      </w:r>
      <w:r w:rsidRPr="00384888">
        <w:rPr>
          <w:b/>
          <w:highlight w:val="cyan"/>
        </w:rPr>
        <w:fldChar w:fldCharType="separate"/>
      </w:r>
      <w:r w:rsidRPr="00384888">
        <w:t>2</w:t>
      </w:r>
      <w:r w:rsidRPr="00384888">
        <w:rPr>
          <w:b/>
          <w:highlight w:val="cyan"/>
        </w:rPr>
        <w:fldChar w:fldCharType="end"/>
      </w:r>
      <w:r w:rsidRPr="00384888">
        <w:t xml:space="preserve"> we made the following observations:</w:t>
      </w:r>
      <w:r w:rsidR="002C52DF" w:rsidRPr="00091D30">
        <w:rPr>
          <w:b/>
          <w:bCs/>
          <w:lang w:val="en-US"/>
        </w:rPr>
        <w:t xml:space="preserve"> </w:t>
      </w:r>
    </w:p>
    <w:sdt>
      <w:sdtPr>
        <w:rPr>
          <w:b w:val="0"/>
          <w:noProof w:val="0"/>
          <w:szCs w:val="20"/>
          <w:lang w:val="en-GB"/>
        </w:rPr>
        <w:id w:val="979957715"/>
        <w:docPartObj>
          <w:docPartGallery w:val="Table of Contents"/>
          <w:docPartUnique/>
        </w:docPartObj>
      </w:sdtPr>
      <w:sdtEndPr>
        <w:rPr>
          <w:b/>
        </w:rPr>
      </w:sdtEndPr>
      <w:sdtContent>
        <w:p w14:paraId="4017EE01" w14:textId="554A448A" w:rsidR="002C52DF" w:rsidRDefault="002C52DF">
          <w:pPr>
            <w:pStyle w:val="TOC1"/>
            <w:rPr>
              <w:rFonts w:asciiTheme="minorHAnsi" w:eastAsiaTheme="minorEastAsia" w:hAnsiTheme="minorHAnsi" w:cstheme="minorBidi"/>
              <w:b w:val="0"/>
              <w:sz w:val="22"/>
              <w:lang w:val="sv-SE"/>
            </w:rPr>
          </w:pPr>
          <w:r>
            <w:rPr>
              <w:b w:val="0"/>
              <w:noProof w:val="0"/>
              <w:szCs w:val="20"/>
              <w:lang w:val="en-GB"/>
            </w:rPr>
            <w:fldChar w:fldCharType="begin"/>
          </w:r>
          <w:r>
            <w:rPr>
              <w:b w:val="0"/>
              <w:noProof w:val="0"/>
              <w:szCs w:val="20"/>
              <w:lang w:val="en-GB"/>
            </w:rPr>
            <w:instrText xml:space="preserve"> TOC \n \h \z \t "Observation;1" </w:instrText>
          </w:r>
          <w:r>
            <w:rPr>
              <w:b w:val="0"/>
              <w:noProof w:val="0"/>
              <w:szCs w:val="20"/>
              <w:lang w:val="en-GB"/>
            </w:rPr>
            <w:fldChar w:fldCharType="separate"/>
          </w:r>
          <w:hyperlink w:anchor="_Toc498619076" w:history="1">
            <w:r w:rsidRPr="005D769F">
              <w:rPr>
                <w:rStyle w:val="Hyperlink"/>
              </w:rPr>
              <w:t>Observation 1</w:t>
            </w:r>
            <w:r>
              <w:rPr>
                <w:rFonts w:asciiTheme="minorHAnsi" w:eastAsiaTheme="minorEastAsia" w:hAnsiTheme="minorHAnsi" w:cstheme="minorBidi"/>
                <w:b w:val="0"/>
                <w:sz w:val="22"/>
                <w:lang w:val="sv-SE"/>
              </w:rPr>
              <w:tab/>
            </w:r>
            <w:r w:rsidRPr="005D769F">
              <w:rPr>
                <w:rStyle w:val="Hyperlink"/>
              </w:rPr>
              <w:t>The unified PHR MAC CE format used for both single connectivity and ‘dual connectivity and CA’ is not efficient single connectivity.</w:t>
            </w:r>
          </w:hyperlink>
        </w:p>
        <w:p w14:paraId="711263B1" w14:textId="77777777" w:rsidR="002C52DF" w:rsidRDefault="001247DE">
          <w:pPr>
            <w:pStyle w:val="TOC1"/>
            <w:rPr>
              <w:rFonts w:asciiTheme="minorHAnsi" w:eastAsiaTheme="minorEastAsia" w:hAnsiTheme="minorHAnsi" w:cstheme="minorBidi"/>
              <w:b w:val="0"/>
              <w:sz w:val="22"/>
              <w:lang w:val="sv-SE"/>
            </w:rPr>
          </w:pPr>
          <w:hyperlink w:anchor="_Toc498619077" w:history="1">
            <w:r w:rsidR="002C52DF" w:rsidRPr="005D769F">
              <w:rPr>
                <w:rStyle w:val="Hyperlink"/>
              </w:rPr>
              <w:t>Observation 2</w:t>
            </w:r>
            <w:r w:rsidR="002C52DF">
              <w:rPr>
                <w:rFonts w:asciiTheme="minorHAnsi" w:eastAsiaTheme="minorEastAsia" w:hAnsiTheme="minorHAnsi" w:cstheme="minorBidi"/>
                <w:b w:val="0"/>
                <w:sz w:val="22"/>
                <w:lang w:val="sv-SE"/>
              </w:rPr>
              <w:tab/>
            </w:r>
            <w:r w:rsidR="002C52DF" w:rsidRPr="005D769F">
              <w:rPr>
                <w:rStyle w:val="Hyperlink"/>
              </w:rPr>
              <w:t>Up to two closed loop power control processes per cell was agreed in RAN1.</w:t>
            </w:r>
          </w:hyperlink>
        </w:p>
        <w:p w14:paraId="69877A81" w14:textId="77777777" w:rsidR="002C52DF" w:rsidRDefault="001247DE">
          <w:pPr>
            <w:pStyle w:val="TOC1"/>
            <w:rPr>
              <w:rFonts w:asciiTheme="minorHAnsi" w:eastAsiaTheme="minorEastAsia" w:hAnsiTheme="minorHAnsi" w:cstheme="minorBidi"/>
              <w:b w:val="0"/>
              <w:sz w:val="22"/>
              <w:lang w:val="sv-SE"/>
            </w:rPr>
          </w:pPr>
          <w:hyperlink w:anchor="_Toc498619078" w:history="1">
            <w:r w:rsidR="002C52DF" w:rsidRPr="005D769F">
              <w:rPr>
                <w:rStyle w:val="Hyperlink"/>
              </w:rPr>
              <w:t>Observation 3</w:t>
            </w:r>
            <w:r w:rsidR="002C52DF">
              <w:rPr>
                <w:rFonts w:asciiTheme="minorHAnsi" w:eastAsiaTheme="minorEastAsia" w:hAnsiTheme="minorHAnsi" w:cstheme="minorBidi"/>
                <w:b w:val="0"/>
                <w:sz w:val="22"/>
                <w:lang w:val="sv-SE"/>
              </w:rPr>
              <w:tab/>
            </w:r>
            <w:r w:rsidR="002C52DF" w:rsidRPr="005D769F">
              <w:rPr>
                <w:rStyle w:val="Hyperlink"/>
              </w:rPr>
              <w:t>It is necessary to estimate power headroom per closed loop power control process in a cell.</w:t>
            </w:r>
          </w:hyperlink>
        </w:p>
        <w:p w14:paraId="0D7394C9" w14:textId="77777777" w:rsidR="002C52DF" w:rsidRDefault="001247DE">
          <w:pPr>
            <w:pStyle w:val="TOC1"/>
            <w:rPr>
              <w:rFonts w:asciiTheme="minorHAnsi" w:eastAsiaTheme="minorEastAsia" w:hAnsiTheme="minorHAnsi" w:cstheme="minorBidi"/>
              <w:b w:val="0"/>
              <w:sz w:val="22"/>
              <w:lang w:val="sv-SE"/>
            </w:rPr>
          </w:pPr>
          <w:hyperlink w:anchor="_Toc498619079" w:history="1">
            <w:r w:rsidR="002C52DF" w:rsidRPr="005D769F">
              <w:rPr>
                <w:rStyle w:val="Hyperlink"/>
              </w:rPr>
              <w:t>Observation 4</w:t>
            </w:r>
            <w:r w:rsidR="002C52DF">
              <w:rPr>
                <w:rFonts w:asciiTheme="minorHAnsi" w:eastAsiaTheme="minorEastAsia" w:hAnsiTheme="minorHAnsi" w:cstheme="minorBidi"/>
                <w:b w:val="0"/>
                <w:sz w:val="22"/>
                <w:lang w:val="sv-SE"/>
              </w:rPr>
              <w:tab/>
            </w:r>
            <w:r w:rsidR="002C52DF" w:rsidRPr="005D769F">
              <w:rPr>
                <w:rStyle w:val="Hyperlink"/>
              </w:rPr>
              <w:t>Two simultaneous PUSCH transmissions one both SUL carrier and NR UL carrier in a NR cell for the same UE is not supported.</w:t>
            </w:r>
          </w:hyperlink>
        </w:p>
        <w:p w14:paraId="261FA868" w14:textId="77777777" w:rsidR="002C52DF" w:rsidRDefault="001247DE">
          <w:pPr>
            <w:pStyle w:val="TOC1"/>
            <w:rPr>
              <w:rFonts w:asciiTheme="minorHAnsi" w:eastAsiaTheme="minorEastAsia" w:hAnsiTheme="minorHAnsi" w:cstheme="minorBidi"/>
              <w:b w:val="0"/>
              <w:sz w:val="22"/>
              <w:lang w:val="sv-SE"/>
            </w:rPr>
          </w:pPr>
          <w:hyperlink w:anchor="_Toc498619080" w:history="1">
            <w:r w:rsidR="002C52DF" w:rsidRPr="005D769F">
              <w:rPr>
                <w:rStyle w:val="Hyperlink"/>
              </w:rPr>
              <w:t>Observation 5</w:t>
            </w:r>
            <w:r w:rsidR="002C52DF">
              <w:rPr>
                <w:rFonts w:asciiTheme="minorHAnsi" w:eastAsiaTheme="minorEastAsia" w:hAnsiTheme="minorHAnsi" w:cstheme="minorBidi"/>
                <w:b w:val="0"/>
                <w:sz w:val="22"/>
                <w:lang w:val="sv-SE"/>
              </w:rPr>
              <w:tab/>
            </w:r>
            <w:r w:rsidR="002C52DF" w:rsidRPr="005D769F">
              <w:rPr>
                <w:rStyle w:val="Hyperlink"/>
              </w:rPr>
              <w:t>The gNB can determine the mapping between a PH and the closed loop power control process based on the reference PUSCH for PH estimation.</w:t>
            </w:r>
          </w:hyperlink>
        </w:p>
        <w:p w14:paraId="278C58E7" w14:textId="77777777" w:rsidR="002C52DF" w:rsidRDefault="001247DE">
          <w:pPr>
            <w:pStyle w:val="TOC1"/>
            <w:rPr>
              <w:rFonts w:asciiTheme="minorHAnsi" w:eastAsiaTheme="minorEastAsia" w:hAnsiTheme="minorHAnsi" w:cstheme="minorBidi"/>
              <w:b w:val="0"/>
              <w:sz w:val="22"/>
              <w:lang w:val="sv-SE"/>
            </w:rPr>
          </w:pPr>
          <w:hyperlink w:anchor="_Toc498619081" w:history="1">
            <w:r w:rsidR="002C52DF" w:rsidRPr="005D769F">
              <w:rPr>
                <w:rStyle w:val="Hyperlink"/>
              </w:rPr>
              <w:t>Observation 6</w:t>
            </w:r>
            <w:r w:rsidR="002C52DF">
              <w:rPr>
                <w:rFonts w:asciiTheme="minorHAnsi" w:eastAsiaTheme="minorEastAsia" w:hAnsiTheme="minorHAnsi" w:cstheme="minorBidi"/>
                <w:b w:val="0"/>
                <w:sz w:val="22"/>
                <w:lang w:val="sv-SE"/>
              </w:rPr>
              <w:tab/>
            </w:r>
            <w:r w:rsidR="002C52DF" w:rsidRPr="005D769F">
              <w:rPr>
                <w:rStyle w:val="Hyperlink"/>
              </w:rPr>
              <w:t>When evaluating if a PHR can be trigger during the beam switch, the UE MAC entity may compare PL measurements between different beams (i.e. the measurement on a new beam but the reference measurement is from the old beam). In other words, the LTE parameter “dl-PathlossChange” is sufficient for PHR during beam-switches.</w:t>
            </w:r>
          </w:hyperlink>
        </w:p>
        <w:p w14:paraId="149E44F2" w14:textId="4E3B5575" w:rsidR="009027BD" w:rsidRDefault="002C52DF" w:rsidP="002C52DF">
          <w:pPr>
            <w:rPr>
              <w:b/>
              <w:bCs/>
              <w:lang w:val="en-US"/>
            </w:rPr>
          </w:pPr>
          <w:r>
            <w:rPr>
              <w:b/>
            </w:rPr>
            <w:fldChar w:fldCharType="end"/>
          </w:r>
        </w:p>
      </w:sdtContent>
    </w:sdt>
    <w:p w14:paraId="16C7AA7E" w14:textId="21EB2650" w:rsidR="009027BD" w:rsidRDefault="009027BD" w:rsidP="002C52DF">
      <w:pPr>
        <w:pStyle w:val="BodyText"/>
      </w:pPr>
      <w:r w:rsidRPr="00384888">
        <w:t xml:space="preserve">Based on the discussion in section </w:t>
      </w:r>
      <w:r w:rsidRPr="00384888">
        <w:rPr>
          <w:b/>
          <w:highlight w:val="cyan"/>
        </w:rPr>
        <w:fldChar w:fldCharType="begin"/>
      </w:r>
      <w:r w:rsidRPr="00384888">
        <w:instrText xml:space="preserve"> REF _Ref178064866 \r \h </w:instrText>
      </w:r>
      <w:r>
        <w:rPr>
          <w:highlight w:val="cyan"/>
        </w:rPr>
        <w:instrText xml:space="preserve"> \* MERGEFORMAT </w:instrText>
      </w:r>
      <w:r w:rsidRPr="00384888">
        <w:rPr>
          <w:b/>
          <w:highlight w:val="cyan"/>
        </w:rPr>
      </w:r>
      <w:r w:rsidRPr="00384888">
        <w:rPr>
          <w:b/>
          <w:highlight w:val="cyan"/>
        </w:rPr>
        <w:fldChar w:fldCharType="separate"/>
      </w:r>
      <w:r w:rsidRPr="00384888">
        <w:t>2</w:t>
      </w:r>
      <w:r w:rsidRPr="00384888">
        <w:rPr>
          <w:b/>
          <w:highlight w:val="cyan"/>
        </w:rPr>
        <w:fldChar w:fldCharType="end"/>
      </w:r>
      <w:r w:rsidRPr="00384888">
        <w:t xml:space="preserve"> we propose the following:</w:t>
      </w:r>
    </w:p>
    <w:sdt>
      <w:sdtPr>
        <w:rPr>
          <w:b w:val="0"/>
          <w:noProof w:val="0"/>
          <w:szCs w:val="20"/>
          <w:lang w:val="en-GB"/>
        </w:rPr>
        <w:id w:val="-1469740627"/>
        <w:docPartObj>
          <w:docPartGallery w:val="Table of Contents"/>
          <w:docPartUnique/>
        </w:docPartObj>
      </w:sdtPr>
      <w:sdtEndPr>
        <w:rPr>
          <w:b/>
        </w:rPr>
      </w:sdtEndPr>
      <w:sdtContent>
        <w:p w14:paraId="7AF22FD1" w14:textId="4FD908CA" w:rsidR="002C52DF" w:rsidRDefault="002C52DF">
          <w:pPr>
            <w:pStyle w:val="TOC1"/>
            <w:rPr>
              <w:rFonts w:asciiTheme="minorHAnsi" w:eastAsiaTheme="minorEastAsia" w:hAnsiTheme="minorHAnsi" w:cstheme="minorBidi"/>
              <w:b w:val="0"/>
              <w:sz w:val="22"/>
              <w:lang w:val="sv-SE"/>
            </w:rPr>
          </w:pPr>
          <w:r>
            <w:rPr>
              <w:b w:val="0"/>
              <w:noProof w:val="0"/>
              <w:szCs w:val="20"/>
              <w:lang w:val="en-GB"/>
            </w:rPr>
            <w:fldChar w:fldCharType="begin"/>
          </w:r>
          <w:r>
            <w:rPr>
              <w:b w:val="0"/>
              <w:noProof w:val="0"/>
              <w:szCs w:val="20"/>
              <w:lang w:val="en-GB"/>
            </w:rPr>
            <w:instrText xml:space="preserve"> TOC \n \h \z \t "Proposal;1" </w:instrText>
          </w:r>
          <w:r>
            <w:rPr>
              <w:b w:val="0"/>
              <w:noProof w:val="0"/>
              <w:szCs w:val="20"/>
              <w:lang w:val="en-GB"/>
            </w:rPr>
            <w:fldChar w:fldCharType="separate"/>
          </w:r>
          <w:hyperlink w:anchor="_Toc498619121" w:history="1">
            <w:r w:rsidRPr="0007506A">
              <w:rPr>
                <w:rStyle w:val="Hyperlink"/>
              </w:rPr>
              <w:t>Proposal 1</w:t>
            </w:r>
            <w:r>
              <w:rPr>
                <w:rFonts w:asciiTheme="minorHAnsi" w:eastAsiaTheme="minorEastAsia" w:hAnsiTheme="minorHAnsi" w:cstheme="minorBidi"/>
                <w:b w:val="0"/>
                <w:sz w:val="22"/>
                <w:lang w:val="sv-SE"/>
              </w:rPr>
              <w:tab/>
            </w:r>
            <w:r w:rsidRPr="0007506A">
              <w:rPr>
                <w:rStyle w:val="Hyperlink"/>
              </w:rPr>
              <w:t>NR reuses LTE PHR MAC CE for single serving cell scenario.</w:t>
            </w:r>
          </w:hyperlink>
        </w:p>
        <w:p w14:paraId="38216AAC" w14:textId="65C25037" w:rsidR="002C52DF" w:rsidRDefault="001247DE">
          <w:pPr>
            <w:pStyle w:val="TOC1"/>
            <w:rPr>
              <w:rFonts w:asciiTheme="minorHAnsi" w:eastAsiaTheme="minorEastAsia" w:hAnsiTheme="minorHAnsi" w:cstheme="minorBidi"/>
              <w:b w:val="0"/>
              <w:sz w:val="22"/>
              <w:lang w:val="sv-SE"/>
            </w:rPr>
          </w:pPr>
          <w:hyperlink w:anchor="_Toc498619122" w:history="1">
            <w:r w:rsidR="002C52DF" w:rsidRPr="0007506A">
              <w:rPr>
                <w:rStyle w:val="Hyperlink"/>
              </w:rPr>
              <w:t>Proposal 2</w:t>
            </w:r>
            <w:r w:rsidR="002C52DF">
              <w:rPr>
                <w:rFonts w:asciiTheme="minorHAnsi" w:eastAsiaTheme="minorEastAsia" w:hAnsiTheme="minorHAnsi" w:cstheme="minorBidi"/>
                <w:b w:val="0"/>
                <w:sz w:val="22"/>
                <w:lang w:val="sv-SE"/>
              </w:rPr>
              <w:tab/>
            </w:r>
            <w:r w:rsidR="002C52DF" w:rsidRPr="0007506A">
              <w:rPr>
                <w:rStyle w:val="Hyperlink"/>
              </w:rPr>
              <w:t>The support of two closed loop power control processes does not affect the existing PHR MAC CE format.</w:t>
            </w:r>
          </w:hyperlink>
        </w:p>
        <w:p w14:paraId="75062B29" w14:textId="1EE60932" w:rsidR="002C52DF" w:rsidRDefault="001247DE">
          <w:pPr>
            <w:pStyle w:val="TOC1"/>
            <w:rPr>
              <w:rFonts w:asciiTheme="minorHAnsi" w:eastAsiaTheme="minorEastAsia" w:hAnsiTheme="minorHAnsi" w:cstheme="minorBidi"/>
              <w:b w:val="0"/>
              <w:sz w:val="22"/>
              <w:lang w:val="sv-SE"/>
            </w:rPr>
          </w:pPr>
          <w:hyperlink w:anchor="_Toc498619123" w:history="1">
            <w:r w:rsidR="002C52DF" w:rsidRPr="0007506A">
              <w:rPr>
                <w:rStyle w:val="Hyperlink"/>
              </w:rPr>
              <w:t>Proposal 3</w:t>
            </w:r>
            <w:r w:rsidR="002C52DF">
              <w:rPr>
                <w:rFonts w:asciiTheme="minorHAnsi" w:eastAsiaTheme="minorEastAsia" w:hAnsiTheme="minorHAnsi" w:cstheme="minorBidi"/>
                <w:b w:val="0"/>
                <w:sz w:val="22"/>
                <w:lang w:val="sv-SE"/>
              </w:rPr>
              <w:tab/>
            </w:r>
            <w:r w:rsidR="002C52DF" w:rsidRPr="0007506A">
              <w:rPr>
                <w:rStyle w:val="Hyperlink"/>
              </w:rPr>
              <w:t>NR supports separate PHR triggering settings (e.g. dlPathLossChange) for SUL carrier and NR UL carrier in one cell.</w:t>
            </w:r>
          </w:hyperlink>
        </w:p>
        <w:p w14:paraId="08B2CC91" w14:textId="403C9527" w:rsidR="002C52DF" w:rsidRDefault="001247DE">
          <w:pPr>
            <w:pStyle w:val="TOC1"/>
            <w:rPr>
              <w:rFonts w:asciiTheme="minorHAnsi" w:eastAsiaTheme="minorEastAsia" w:hAnsiTheme="minorHAnsi" w:cstheme="minorBidi"/>
              <w:b w:val="0"/>
              <w:sz w:val="22"/>
              <w:lang w:val="sv-SE"/>
            </w:rPr>
          </w:pPr>
          <w:hyperlink w:anchor="_Toc498619124" w:history="1">
            <w:r w:rsidR="002C52DF" w:rsidRPr="0007506A">
              <w:rPr>
                <w:rStyle w:val="Hyperlink"/>
              </w:rPr>
              <w:t>Proposal 4</w:t>
            </w:r>
            <w:r w:rsidR="002C52DF">
              <w:rPr>
                <w:rFonts w:asciiTheme="minorHAnsi" w:eastAsiaTheme="minorEastAsia" w:hAnsiTheme="minorHAnsi" w:cstheme="minorBidi"/>
                <w:b w:val="0"/>
                <w:sz w:val="22"/>
                <w:lang w:val="sv-SE"/>
              </w:rPr>
              <w:tab/>
            </w:r>
            <w:r w:rsidR="002C52DF" w:rsidRPr="0007506A">
              <w:rPr>
                <w:rStyle w:val="Hyperlink"/>
              </w:rPr>
              <w:t>PHR is triggered at carrier switch between SUL carrier and NR UL carrier</w:t>
            </w:r>
          </w:hyperlink>
        </w:p>
        <w:p w14:paraId="4E5E9624" w14:textId="0D73B2C7" w:rsidR="002C52DF" w:rsidRDefault="001247DE">
          <w:pPr>
            <w:pStyle w:val="TOC1"/>
            <w:rPr>
              <w:rFonts w:asciiTheme="minorHAnsi" w:eastAsiaTheme="minorEastAsia" w:hAnsiTheme="minorHAnsi" w:cstheme="minorBidi"/>
              <w:b w:val="0"/>
              <w:sz w:val="22"/>
              <w:lang w:val="sv-SE"/>
            </w:rPr>
          </w:pPr>
          <w:hyperlink w:anchor="_Toc498619125" w:history="1">
            <w:r w:rsidR="002C52DF" w:rsidRPr="0007506A">
              <w:rPr>
                <w:rStyle w:val="Hyperlink"/>
              </w:rPr>
              <w:t>Proposal 5</w:t>
            </w:r>
            <w:r w:rsidR="002C52DF">
              <w:rPr>
                <w:rFonts w:asciiTheme="minorHAnsi" w:eastAsiaTheme="minorEastAsia" w:hAnsiTheme="minorHAnsi" w:cstheme="minorBidi"/>
                <w:b w:val="0"/>
                <w:sz w:val="22"/>
                <w:lang w:val="sv-SE"/>
              </w:rPr>
              <w:tab/>
            </w:r>
            <w:r w:rsidR="002C52DF" w:rsidRPr="0007506A">
              <w:rPr>
                <w:rStyle w:val="Hyperlink"/>
                <w:lang w:eastAsia="ko-KR"/>
              </w:rPr>
              <w:t>The support of multiple numerologies/BWPs does not impact PHR format and triggers</w:t>
            </w:r>
            <w:r w:rsidR="002C52DF" w:rsidRPr="0007506A">
              <w:rPr>
                <w:rStyle w:val="Hyperlink"/>
              </w:rPr>
              <w:t>.</w:t>
            </w:r>
          </w:hyperlink>
        </w:p>
        <w:p w14:paraId="1DB2B726" w14:textId="149DC795" w:rsidR="002C52DF" w:rsidRDefault="001247DE">
          <w:pPr>
            <w:pStyle w:val="TOC1"/>
            <w:rPr>
              <w:rFonts w:asciiTheme="minorHAnsi" w:eastAsiaTheme="minorEastAsia" w:hAnsiTheme="minorHAnsi" w:cstheme="minorBidi"/>
              <w:b w:val="0"/>
              <w:sz w:val="22"/>
              <w:lang w:val="sv-SE"/>
            </w:rPr>
          </w:pPr>
          <w:hyperlink w:anchor="_Toc498619126" w:history="1">
            <w:r w:rsidR="002C52DF" w:rsidRPr="0007506A">
              <w:rPr>
                <w:rStyle w:val="Hyperlink"/>
              </w:rPr>
              <w:t>Proposal 6</w:t>
            </w:r>
            <w:r w:rsidR="002C52DF">
              <w:rPr>
                <w:rFonts w:asciiTheme="minorHAnsi" w:eastAsiaTheme="minorEastAsia" w:hAnsiTheme="minorHAnsi" w:cstheme="minorBidi"/>
                <w:b w:val="0"/>
                <w:sz w:val="22"/>
                <w:lang w:val="sv-SE"/>
              </w:rPr>
              <w:tab/>
            </w:r>
            <w:r w:rsidR="002C52DF" w:rsidRPr="0007506A">
              <w:rPr>
                <w:rStyle w:val="Hyperlink"/>
              </w:rPr>
              <w:t>It is unnecessary to update PHR format and trigger with respect to the change of serving beams.</w:t>
            </w:r>
          </w:hyperlink>
        </w:p>
        <w:p w14:paraId="10F221D9" w14:textId="57BC315E" w:rsidR="002C52DF" w:rsidRPr="00384888" w:rsidRDefault="002C52DF" w:rsidP="002C52DF">
          <w:pPr>
            <w:pStyle w:val="BodyText"/>
          </w:pPr>
          <w:r>
            <w:rPr>
              <w:b/>
            </w:rPr>
            <w:fldChar w:fldCharType="end"/>
          </w:r>
        </w:p>
      </w:sdtContent>
    </w:sdt>
    <w:p w14:paraId="4A7DF4FF" w14:textId="77777777" w:rsidR="009027BD" w:rsidRPr="00091D30" w:rsidRDefault="009027BD" w:rsidP="009027BD">
      <w:pPr>
        <w:pStyle w:val="Heading1"/>
        <w:rPr>
          <w:lang w:val="en-US"/>
        </w:rPr>
      </w:pPr>
      <w:r w:rsidRPr="00091D30">
        <w:rPr>
          <w:lang w:val="en-US"/>
        </w:rPr>
        <w:t>References</w:t>
      </w:r>
    </w:p>
    <w:p w14:paraId="5D2CB945" w14:textId="10278252" w:rsidR="009027BD" w:rsidRPr="001247DE" w:rsidRDefault="009027BD" w:rsidP="00EE1918">
      <w:pPr>
        <w:pStyle w:val="Reference"/>
        <w:rPr>
          <w:lang w:val="en-US"/>
        </w:rPr>
      </w:pPr>
      <w:r w:rsidRPr="001247DE">
        <w:rPr>
          <w:lang w:val="en-US"/>
        </w:rPr>
        <w:t>R2-17</w:t>
      </w:r>
      <w:r w:rsidR="001247DE" w:rsidRPr="001247DE">
        <w:rPr>
          <w:lang w:val="en-US"/>
        </w:rPr>
        <w:t>13574</w:t>
      </w:r>
      <w:r w:rsidRPr="001247DE">
        <w:rPr>
          <w:lang w:val="en-US"/>
        </w:rPr>
        <w:t>, "PHR Text proposal", Ericsson, RAN2#</w:t>
      </w:r>
      <w:r w:rsidR="001247DE" w:rsidRPr="001247DE">
        <w:rPr>
          <w:lang w:val="en-US"/>
        </w:rPr>
        <w:t>100</w:t>
      </w:r>
    </w:p>
    <w:p w14:paraId="6E183477" w14:textId="0484574B" w:rsidR="00E40CEF" w:rsidRPr="00EE1918" w:rsidRDefault="00E40CEF" w:rsidP="00E40CEF">
      <w:pPr>
        <w:pStyle w:val="Reference"/>
        <w:rPr>
          <w:rFonts w:eastAsia="MS Mincho"/>
          <w:lang w:eastAsia="ja-JP"/>
        </w:rPr>
      </w:pPr>
      <w:r w:rsidRPr="00EE1918">
        <w:rPr>
          <w:lang w:val="en-US"/>
        </w:rPr>
        <w:t>RP-172108,</w:t>
      </w:r>
      <w:r w:rsidR="00C5738E" w:rsidRPr="00EE1918">
        <w:rPr>
          <w:lang w:val="en-US"/>
        </w:rPr>
        <w:t xml:space="preserve"> </w:t>
      </w:r>
      <w:r w:rsidRPr="00EE1918">
        <w:rPr>
          <w:lang w:val="en-US"/>
        </w:rPr>
        <w:t>”</w:t>
      </w:r>
      <w:r w:rsidRPr="00EE1918">
        <w:rPr>
          <w:rFonts w:eastAsia="MS Mincho"/>
          <w:lang w:eastAsia="ja-JP"/>
        </w:rPr>
        <w:t>Updated work plan of RAN 1 and 4 NR”</w:t>
      </w:r>
      <w:r w:rsidRPr="00EE1918">
        <w:rPr>
          <w:rFonts w:eastAsia="MS Mincho" w:cs="Arial"/>
          <w:b/>
          <w:bCs/>
          <w:lang w:eastAsia="ja-JP"/>
        </w:rPr>
        <w:t xml:space="preserve"> </w:t>
      </w:r>
      <w:r w:rsidRPr="00EE1918">
        <w:rPr>
          <w:rFonts w:eastAsia="MS Mincho" w:cs="Arial"/>
          <w:bCs/>
          <w:lang w:eastAsia="ja-JP"/>
        </w:rPr>
        <w:t xml:space="preserve">NTT DOCOMO &amp; drafting group. </w:t>
      </w:r>
    </w:p>
    <w:p w14:paraId="766CC4C7" w14:textId="31E861DF" w:rsidR="003A7EF3" w:rsidRPr="004C509D" w:rsidRDefault="003A7EF3" w:rsidP="00EE1918">
      <w:pPr>
        <w:pStyle w:val="Reference"/>
        <w:numPr>
          <w:ilvl w:val="0"/>
          <w:numId w:val="0"/>
        </w:numPr>
        <w:rPr>
          <w:lang w:val="en-US"/>
        </w:rPr>
      </w:pPr>
      <w:bookmarkStart w:id="124" w:name="_Toc489306319"/>
      <w:bookmarkStart w:id="125" w:name="_Toc487550690"/>
      <w:bookmarkStart w:id="126" w:name="_Toc488074729"/>
      <w:bookmarkStart w:id="127" w:name="_Toc488074730"/>
      <w:bookmarkStart w:id="128" w:name="_Toc489306321"/>
      <w:bookmarkStart w:id="129" w:name="_Toc488074657"/>
      <w:bookmarkStart w:id="130" w:name="OLE_LINK100"/>
      <w:bookmarkStart w:id="131" w:name="_Toc477984910"/>
      <w:bookmarkStart w:id="132" w:name="_Toc477984963"/>
      <w:bookmarkStart w:id="133" w:name="_Toc477985624"/>
      <w:bookmarkStart w:id="134" w:name="_Toc477255583"/>
      <w:bookmarkStart w:id="135" w:name="_Toc477266017"/>
      <w:bookmarkStart w:id="136" w:name="_Toc477971212"/>
      <w:bookmarkStart w:id="137" w:name="_Toc477971226"/>
      <w:bookmarkStart w:id="138" w:name="_Toc477971635"/>
      <w:bookmarkStart w:id="139" w:name="_Toc477254249"/>
      <w:bookmarkStart w:id="140" w:name="_Toc477254272"/>
      <w:bookmarkStart w:id="141" w:name="_Toc477254301"/>
      <w:bookmarkStart w:id="142" w:name="_Toc477255588"/>
      <w:bookmarkStart w:id="143" w:name="_Toc477266022"/>
      <w:bookmarkStart w:id="144" w:name="_Toc477971203"/>
      <w:bookmarkStart w:id="145" w:name="_Toc477971208"/>
      <w:bookmarkStart w:id="146" w:name="_Toc462843369"/>
      <w:bookmarkStart w:id="147" w:name="_Toc462843271"/>
      <w:bookmarkStart w:id="148" w:name="_Toc462843283"/>
      <w:bookmarkStart w:id="149" w:name="_Toc462843312"/>
      <w:bookmarkStart w:id="150" w:name="_Toc462843326"/>
      <w:bookmarkStart w:id="151" w:name="_Toc462843273"/>
      <w:bookmarkStart w:id="152" w:name="_Toc462843285"/>
      <w:bookmarkStart w:id="153" w:name="_Toc462843314"/>
      <w:bookmarkStart w:id="154" w:name="_Toc462843328"/>
      <w:bookmarkStart w:id="155" w:name="_Toc462843372"/>
      <w:bookmarkStart w:id="156" w:name="_Toc462843274"/>
      <w:bookmarkStart w:id="157" w:name="_Toc462843286"/>
      <w:bookmarkStart w:id="158" w:name="_Toc462843315"/>
      <w:bookmarkStart w:id="159" w:name="_Toc462843329"/>
      <w:bookmarkStart w:id="160" w:name="_Toc462843373"/>
      <w:bookmarkStart w:id="161" w:name="_Toc462843275"/>
      <w:bookmarkStart w:id="162" w:name="_Toc462843287"/>
      <w:bookmarkStart w:id="163" w:name="_Toc462843316"/>
      <w:bookmarkStart w:id="164" w:name="_Toc462843330"/>
      <w:bookmarkStart w:id="165" w:name="_Toc462843374"/>
      <w:bookmarkStart w:id="166" w:name="_Toc462843276"/>
      <w:bookmarkStart w:id="167" w:name="_Toc462843288"/>
      <w:bookmarkStart w:id="168" w:name="_Toc462843317"/>
      <w:bookmarkStart w:id="169" w:name="_Toc462843331"/>
      <w:bookmarkStart w:id="170" w:name="_Toc462843375"/>
      <w:bookmarkStart w:id="171" w:name="_Toc457910612"/>
      <w:bookmarkStart w:id="172" w:name="_Toc458413505"/>
      <w:bookmarkStart w:id="173" w:name="_Toc458718272"/>
      <w:bookmarkStart w:id="174" w:name="_Toc458718317"/>
      <w:bookmarkStart w:id="175" w:name="_Toc477971217"/>
      <w:bookmarkStart w:id="176" w:name="_Toc477971231"/>
      <w:bookmarkStart w:id="177" w:name="_Toc477971640"/>
      <w:bookmarkStart w:id="178" w:name="_Toc477984915"/>
      <w:bookmarkStart w:id="179" w:name="_Toc477971218"/>
      <w:bookmarkStart w:id="180" w:name="_Toc477971232"/>
      <w:bookmarkStart w:id="181" w:name="_Toc477971641"/>
      <w:bookmarkStart w:id="182" w:name="_Toc477984916"/>
      <w:bookmarkStart w:id="183" w:name="_Toc477729381"/>
      <w:bookmarkStart w:id="184" w:name="_Toc477729382"/>
      <w:bookmarkStart w:id="185" w:name="_Toc487472297"/>
      <w:bookmarkStart w:id="186" w:name="_Toc487472298"/>
      <w:bookmarkStart w:id="187" w:name="_Toc487029696"/>
      <w:bookmarkStart w:id="188" w:name="_In-sequence_SDU_delivery"/>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sectPr w:rsidR="003A7EF3" w:rsidRPr="004C509D">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7E3B60" w14:textId="77777777" w:rsidR="008D73A8" w:rsidRDefault="008D73A8">
      <w:r>
        <w:separator/>
      </w:r>
    </w:p>
  </w:endnote>
  <w:endnote w:type="continuationSeparator" w:id="0">
    <w:p w14:paraId="332F11B4" w14:textId="77777777" w:rsidR="008D73A8" w:rsidRDefault="008D7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w:altName w:val="Arial Unicode MS"/>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8FCEA" w14:textId="356E87C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247DE">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47DE">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5858F" w14:textId="77777777" w:rsidR="008D73A8" w:rsidRDefault="008D73A8">
      <w:r>
        <w:separator/>
      </w:r>
    </w:p>
  </w:footnote>
  <w:footnote w:type="continuationSeparator" w:id="0">
    <w:p w14:paraId="0B72D6D1" w14:textId="77777777" w:rsidR="008D73A8" w:rsidRDefault="008D73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9E33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0AE873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0E68C3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E28087E"/>
    <w:lvl w:ilvl="0">
      <w:start w:val="1"/>
      <w:numFmt w:val="decimal"/>
      <w:lvlText w:val="%1."/>
      <w:lvlJc w:val="left"/>
      <w:pPr>
        <w:tabs>
          <w:tab w:val="num" w:pos="926"/>
        </w:tabs>
        <w:ind w:left="926" w:hanging="360"/>
      </w:pPr>
    </w:lvl>
  </w:abstractNum>
  <w:abstractNum w:abstractNumId="4"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387CC3"/>
    <w:multiLevelType w:val="hybridMultilevel"/>
    <w:tmpl w:val="189A482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D0D6A1D"/>
    <w:multiLevelType w:val="hybridMultilevel"/>
    <w:tmpl w:val="E3DE6AC0"/>
    <w:lvl w:ilvl="0" w:tplc="BC8A75F0">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4973D9"/>
    <w:multiLevelType w:val="hybridMultilevel"/>
    <w:tmpl w:val="2B42C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C10F50"/>
    <w:multiLevelType w:val="hybridMultilevel"/>
    <w:tmpl w:val="58E0DA88"/>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0" w15:restartNumberingAfterBreak="0">
    <w:nsid w:val="193C4319"/>
    <w:multiLevelType w:val="hybridMultilevel"/>
    <w:tmpl w:val="6C6866B4"/>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08E2A98"/>
    <w:multiLevelType w:val="hybridMultilevel"/>
    <w:tmpl w:val="86E81B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53466F4"/>
    <w:multiLevelType w:val="hybridMultilevel"/>
    <w:tmpl w:val="ED660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A058BE"/>
    <w:multiLevelType w:val="hybridMultilevel"/>
    <w:tmpl w:val="88B2A4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E01F85"/>
    <w:multiLevelType w:val="hybridMultilevel"/>
    <w:tmpl w:val="96A4B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CDB087F"/>
    <w:multiLevelType w:val="hybridMultilevel"/>
    <w:tmpl w:val="2200E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A46647"/>
    <w:multiLevelType w:val="hybridMultilevel"/>
    <w:tmpl w:val="4A529A20"/>
    <w:lvl w:ilvl="0" w:tplc="69C8B31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171189"/>
    <w:multiLevelType w:val="hybridMultilevel"/>
    <w:tmpl w:val="CBE218E4"/>
    <w:lvl w:ilvl="0" w:tplc="C0368D34">
      <w:numFmt w:val="bullet"/>
      <w:lvlText w:val="-"/>
      <w:lvlJc w:val="left"/>
      <w:pPr>
        <w:ind w:left="720" w:hanging="360"/>
      </w:pPr>
      <w:rPr>
        <w:rFonts w:ascii="Arial" w:eastAsia="Times New Roman" w:hAnsi="Arial" w:cs="Aria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631D0A"/>
    <w:multiLevelType w:val="hybridMultilevel"/>
    <w:tmpl w:val="9C44684E"/>
    <w:lvl w:ilvl="0" w:tplc="04090001">
      <w:start w:val="1"/>
      <w:numFmt w:val="bullet"/>
      <w:lvlText w:val=""/>
      <w:lvlJc w:val="left"/>
      <w:pPr>
        <w:ind w:left="720" w:hanging="360"/>
      </w:pPr>
      <w:rPr>
        <w:rFonts w:ascii="Symbol" w:hAnsi="Symbol" w:hint="default"/>
        <w:color w:val="auto"/>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AD0FC3"/>
    <w:multiLevelType w:val="hybridMultilevel"/>
    <w:tmpl w:val="0834EF26"/>
    <w:lvl w:ilvl="0" w:tplc="EE5CCDE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6" w15:restartNumberingAfterBreak="0">
    <w:nsid w:val="481170A6"/>
    <w:multiLevelType w:val="hybridMultilevel"/>
    <w:tmpl w:val="27B4AFFC"/>
    <w:lvl w:ilvl="0" w:tplc="6ACC8AFA">
      <w:start w:val="1"/>
      <w:numFmt w:val="decimal"/>
      <w:lvlText w:val="%1."/>
      <w:lvlJc w:val="left"/>
      <w:pPr>
        <w:ind w:left="1619" w:hanging="360"/>
      </w:pPr>
      <w:rPr>
        <w:rFonts w:cs="Times New Roman"/>
      </w:rPr>
    </w:lvl>
    <w:lvl w:ilvl="1" w:tplc="10090019">
      <w:start w:val="1"/>
      <w:numFmt w:val="lowerLetter"/>
      <w:lvlText w:val="%2."/>
      <w:lvlJc w:val="left"/>
      <w:pPr>
        <w:ind w:left="2339" w:hanging="360"/>
      </w:pPr>
      <w:rPr>
        <w:rFonts w:cs="Times New Roman"/>
      </w:rPr>
    </w:lvl>
    <w:lvl w:ilvl="2" w:tplc="1009001B">
      <w:start w:val="1"/>
      <w:numFmt w:val="lowerRoman"/>
      <w:lvlText w:val="%3."/>
      <w:lvlJc w:val="right"/>
      <w:pPr>
        <w:ind w:left="3059" w:hanging="180"/>
      </w:pPr>
      <w:rPr>
        <w:rFonts w:cs="Times New Roman"/>
      </w:rPr>
    </w:lvl>
    <w:lvl w:ilvl="3" w:tplc="1009000F">
      <w:start w:val="1"/>
      <w:numFmt w:val="decimal"/>
      <w:lvlText w:val="%4."/>
      <w:lvlJc w:val="left"/>
      <w:pPr>
        <w:ind w:left="3779" w:hanging="360"/>
      </w:pPr>
      <w:rPr>
        <w:rFonts w:cs="Times New Roman"/>
      </w:rPr>
    </w:lvl>
    <w:lvl w:ilvl="4" w:tplc="10090019">
      <w:start w:val="1"/>
      <w:numFmt w:val="lowerLetter"/>
      <w:lvlText w:val="%5."/>
      <w:lvlJc w:val="left"/>
      <w:pPr>
        <w:ind w:left="4499" w:hanging="360"/>
      </w:pPr>
      <w:rPr>
        <w:rFonts w:cs="Times New Roman"/>
      </w:rPr>
    </w:lvl>
    <w:lvl w:ilvl="5" w:tplc="1009001B">
      <w:start w:val="1"/>
      <w:numFmt w:val="lowerRoman"/>
      <w:lvlText w:val="%6."/>
      <w:lvlJc w:val="right"/>
      <w:pPr>
        <w:ind w:left="5219" w:hanging="180"/>
      </w:pPr>
      <w:rPr>
        <w:rFonts w:cs="Times New Roman"/>
      </w:rPr>
    </w:lvl>
    <w:lvl w:ilvl="6" w:tplc="1009000F">
      <w:start w:val="1"/>
      <w:numFmt w:val="decimal"/>
      <w:lvlText w:val="%7."/>
      <w:lvlJc w:val="left"/>
      <w:pPr>
        <w:ind w:left="5939" w:hanging="360"/>
      </w:pPr>
      <w:rPr>
        <w:rFonts w:cs="Times New Roman"/>
      </w:rPr>
    </w:lvl>
    <w:lvl w:ilvl="7" w:tplc="10090019">
      <w:start w:val="1"/>
      <w:numFmt w:val="lowerLetter"/>
      <w:lvlText w:val="%8."/>
      <w:lvlJc w:val="left"/>
      <w:pPr>
        <w:ind w:left="6659" w:hanging="360"/>
      </w:pPr>
      <w:rPr>
        <w:rFonts w:cs="Times New Roman"/>
      </w:rPr>
    </w:lvl>
    <w:lvl w:ilvl="8" w:tplc="1009001B">
      <w:start w:val="1"/>
      <w:numFmt w:val="lowerRoman"/>
      <w:lvlText w:val="%9."/>
      <w:lvlJc w:val="right"/>
      <w:pPr>
        <w:ind w:left="7379" w:hanging="180"/>
      </w:pPr>
      <w:rPr>
        <w:rFonts w:cs="Times New Roman"/>
      </w:rPr>
    </w:lvl>
  </w:abstractNum>
  <w:abstractNum w:abstractNumId="27" w15:restartNumberingAfterBreak="0">
    <w:nsid w:val="4B177715"/>
    <w:multiLevelType w:val="hybridMultilevel"/>
    <w:tmpl w:val="4330FA9E"/>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144D13"/>
    <w:multiLevelType w:val="multilevel"/>
    <w:tmpl w:val="1A70A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101505E"/>
    <w:multiLevelType w:val="hybridMultilevel"/>
    <w:tmpl w:val="55BEC5C6"/>
    <w:lvl w:ilvl="0" w:tplc="B460486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ED2BB2"/>
    <w:multiLevelType w:val="hybridMultilevel"/>
    <w:tmpl w:val="B84EFFDE"/>
    <w:lvl w:ilvl="0" w:tplc="09F0B394">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33" w15:restartNumberingAfterBreak="0">
    <w:nsid w:val="65A52FE4"/>
    <w:multiLevelType w:val="hybridMultilevel"/>
    <w:tmpl w:val="D2688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6842FC5"/>
    <w:multiLevelType w:val="hybridMultilevel"/>
    <w:tmpl w:val="5560DE6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6AAD46B9"/>
    <w:multiLevelType w:val="hybridMultilevel"/>
    <w:tmpl w:val="9D94C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7022F7"/>
    <w:multiLevelType w:val="hybridMultilevel"/>
    <w:tmpl w:val="18AE3B16"/>
    <w:lvl w:ilvl="0" w:tplc="04A2F5C6">
      <w:start w:val="1"/>
      <w:numFmt w:val="bullet"/>
      <w:lvlText w:val="•"/>
      <w:lvlJc w:val="left"/>
      <w:pPr>
        <w:tabs>
          <w:tab w:val="num" w:pos="720"/>
        </w:tabs>
        <w:ind w:left="720" w:hanging="360"/>
      </w:pPr>
      <w:rPr>
        <w:rFonts w:ascii="Arial" w:hAnsi="Arial" w:cs="Times New Roman" w:hint="default"/>
      </w:rPr>
    </w:lvl>
    <w:lvl w:ilvl="1" w:tplc="592E8DCC">
      <w:numFmt w:val="bullet"/>
      <w:lvlText w:val="–"/>
      <w:lvlJc w:val="left"/>
      <w:pPr>
        <w:tabs>
          <w:tab w:val="num" w:pos="1440"/>
        </w:tabs>
        <w:ind w:left="1440" w:hanging="360"/>
      </w:pPr>
      <w:rPr>
        <w:rFonts w:ascii="Arial" w:hAnsi="Arial" w:cs="Times New Roman" w:hint="default"/>
      </w:rPr>
    </w:lvl>
    <w:lvl w:ilvl="2" w:tplc="6504B9E8">
      <w:start w:val="1"/>
      <w:numFmt w:val="bullet"/>
      <w:lvlText w:val="•"/>
      <w:lvlJc w:val="left"/>
      <w:pPr>
        <w:tabs>
          <w:tab w:val="num" w:pos="2160"/>
        </w:tabs>
        <w:ind w:left="2160" w:hanging="360"/>
      </w:pPr>
      <w:rPr>
        <w:rFonts w:ascii="Arial" w:hAnsi="Arial" w:cs="Times New Roman" w:hint="default"/>
      </w:rPr>
    </w:lvl>
    <w:lvl w:ilvl="3" w:tplc="84588D76">
      <w:start w:val="1"/>
      <w:numFmt w:val="bullet"/>
      <w:lvlText w:val="•"/>
      <w:lvlJc w:val="left"/>
      <w:pPr>
        <w:tabs>
          <w:tab w:val="num" w:pos="2880"/>
        </w:tabs>
        <w:ind w:left="2880" w:hanging="360"/>
      </w:pPr>
      <w:rPr>
        <w:rFonts w:ascii="Arial" w:hAnsi="Arial" w:cs="Times New Roman" w:hint="default"/>
      </w:rPr>
    </w:lvl>
    <w:lvl w:ilvl="4" w:tplc="880A6134">
      <w:start w:val="1"/>
      <w:numFmt w:val="bullet"/>
      <w:lvlText w:val="•"/>
      <w:lvlJc w:val="left"/>
      <w:pPr>
        <w:tabs>
          <w:tab w:val="num" w:pos="3600"/>
        </w:tabs>
        <w:ind w:left="3600" w:hanging="360"/>
      </w:pPr>
      <w:rPr>
        <w:rFonts w:ascii="Arial" w:hAnsi="Arial" w:cs="Times New Roman" w:hint="default"/>
      </w:rPr>
    </w:lvl>
    <w:lvl w:ilvl="5" w:tplc="94CE22EC">
      <w:start w:val="1"/>
      <w:numFmt w:val="bullet"/>
      <w:lvlText w:val="•"/>
      <w:lvlJc w:val="left"/>
      <w:pPr>
        <w:tabs>
          <w:tab w:val="num" w:pos="4320"/>
        </w:tabs>
        <w:ind w:left="4320" w:hanging="360"/>
      </w:pPr>
      <w:rPr>
        <w:rFonts w:ascii="Arial" w:hAnsi="Arial" w:cs="Times New Roman" w:hint="default"/>
      </w:rPr>
    </w:lvl>
    <w:lvl w:ilvl="6" w:tplc="05E4637E">
      <w:start w:val="1"/>
      <w:numFmt w:val="bullet"/>
      <w:lvlText w:val="•"/>
      <w:lvlJc w:val="left"/>
      <w:pPr>
        <w:tabs>
          <w:tab w:val="num" w:pos="5040"/>
        </w:tabs>
        <w:ind w:left="5040" w:hanging="360"/>
      </w:pPr>
      <w:rPr>
        <w:rFonts w:ascii="Arial" w:hAnsi="Arial" w:cs="Times New Roman" w:hint="default"/>
      </w:rPr>
    </w:lvl>
    <w:lvl w:ilvl="7" w:tplc="37CA9B2A">
      <w:start w:val="1"/>
      <w:numFmt w:val="bullet"/>
      <w:lvlText w:val="•"/>
      <w:lvlJc w:val="left"/>
      <w:pPr>
        <w:tabs>
          <w:tab w:val="num" w:pos="5760"/>
        </w:tabs>
        <w:ind w:left="5760" w:hanging="360"/>
      </w:pPr>
      <w:rPr>
        <w:rFonts w:ascii="Arial" w:hAnsi="Arial" w:cs="Times New Roman" w:hint="default"/>
      </w:rPr>
    </w:lvl>
    <w:lvl w:ilvl="8" w:tplc="1A660632">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9"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64E5CF9"/>
    <w:multiLevelType w:val="hybridMultilevel"/>
    <w:tmpl w:val="03C62FAC"/>
    <w:lvl w:ilvl="0" w:tplc="60F04A64">
      <w:start w:val="1"/>
      <w:numFmt w:val="bullet"/>
      <w:lvlText w:val="–"/>
      <w:lvlJc w:val="left"/>
      <w:pPr>
        <w:tabs>
          <w:tab w:val="num" w:pos="720"/>
        </w:tabs>
        <w:ind w:left="720" w:hanging="360"/>
      </w:pPr>
      <w:rPr>
        <w:rFonts w:ascii="Ericsson Capital TT" w:hAnsi="Ericsson Capital TT" w:hint="default"/>
      </w:rPr>
    </w:lvl>
    <w:lvl w:ilvl="1" w:tplc="774E8B3E">
      <w:start w:val="1"/>
      <w:numFmt w:val="bullet"/>
      <w:lvlText w:val="–"/>
      <w:lvlJc w:val="left"/>
      <w:pPr>
        <w:tabs>
          <w:tab w:val="num" w:pos="1440"/>
        </w:tabs>
        <w:ind w:left="1440" w:hanging="360"/>
      </w:pPr>
      <w:rPr>
        <w:rFonts w:ascii="Ericsson Capital TT" w:hAnsi="Ericsson Capital TT" w:hint="default"/>
      </w:rPr>
    </w:lvl>
    <w:lvl w:ilvl="2" w:tplc="32544886">
      <w:numFmt w:val="bullet"/>
      <w:lvlText w:val="›"/>
      <w:lvlJc w:val="left"/>
      <w:pPr>
        <w:tabs>
          <w:tab w:val="num" w:pos="2160"/>
        </w:tabs>
        <w:ind w:left="2160" w:hanging="360"/>
      </w:pPr>
      <w:rPr>
        <w:rFonts w:ascii="Ericsson Capital TT" w:hAnsi="Ericsson Capital TT" w:hint="default"/>
      </w:rPr>
    </w:lvl>
    <w:lvl w:ilvl="3" w:tplc="943413B6">
      <w:start w:val="1"/>
      <w:numFmt w:val="bullet"/>
      <w:lvlText w:val="–"/>
      <w:lvlJc w:val="left"/>
      <w:pPr>
        <w:tabs>
          <w:tab w:val="num" w:pos="2880"/>
        </w:tabs>
        <w:ind w:left="2880" w:hanging="360"/>
      </w:pPr>
      <w:rPr>
        <w:rFonts w:ascii="Ericsson Capital TT" w:hAnsi="Ericsson Capital TT" w:hint="default"/>
      </w:rPr>
    </w:lvl>
    <w:lvl w:ilvl="4" w:tplc="6F6CDB94">
      <w:start w:val="1"/>
      <w:numFmt w:val="bullet"/>
      <w:lvlText w:val="–"/>
      <w:lvlJc w:val="left"/>
      <w:pPr>
        <w:tabs>
          <w:tab w:val="num" w:pos="3600"/>
        </w:tabs>
        <w:ind w:left="3600" w:hanging="360"/>
      </w:pPr>
      <w:rPr>
        <w:rFonts w:ascii="Ericsson Capital TT" w:hAnsi="Ericsson Capital TT" w:hint="default"/>
      </w:rPr>
    </w:lvl>
    <w:lvl w:ilvl="5" w:tplc="748A404E">
      <w:start w:val="1"/>
      <w:numFmt w:val="bullet"/>
      <w:lvlText w:val="–"/>
      <w:lvlJc w:val="left"/>
      <w:pPr>
        <w:tabs>
          <w:tab w:val="num" w:pos="4320"/>
        </w:tabs>
        <w:ind w:left="4320" w:hanging="360"/>
      </w:pPr>
      <w:rPr>
        <w:rFonts w:ascii="Ericsson Capital TT" w:hAnsi="Ericsson Capital TT" w:hint="default"/>
      </w:rPr>
    </w:lvl>
    <w:lvl w:ilvl="6" w:tplc="6C00C4EA">
      <w:start w:val="1"/>
      <w:numFmt w:val="bullet"/>
      <w:lvlText w:val="–"/>
      <w:lvlJc w:val="left"/>
      <w:pPr>
        <w:tabs>
          <w:tab w:val="num" w:pos="5040"/>
        </w:tabs>
        <w:ind w:left="5040" w:hanging="360"/>
      </w:pPr>
      <w:rPr>
        <w:rFonts w:ascii="Ericsson Capital TT" w:hAnsi="Ericsson Capital TT" w:hint="default"/>
      </w:rPr>
    </w:lvl>
    <w:lvl w:ilvl="7" w:tplc="F6D03504">
      <w:start w:val="1"/>
      <w:numFmt w:val="bullet"/>
      <w:lvlText w:val="–"/>
      <w:lvlJc w:val="left"/>
      <w:pPr>
        <w:tabs>
          <w:tab w:val="num" w:pos="5760"/>
        </w:tabs>
        <w:ind w:left="5760" w:hanging="360"/>
      </w:pPr>
      <w:rPr>
        <w:rFonts w:ascii="Ericsson Capital TT" w:hAnsi="Ericsson Capital TT" w:hint="default"/>
      </w:rPr>
    </w:lvl>
    <w:lvl w:ilvl="8" w:tplc="322ADFA0">
      <w:start w:val="1"/>
      <w:numFmt w:val="bullet"/>
      <w:lvlText w:val="–"/>
      <w:lvlJc w:val="left"/>
      <w:pPr>
        <w:tabs>
          <w:tab w:val="num" w:pos="6480"/>
        </w:tabs>
        <w:ind w:left="6480" w:hanging="360"/>
      </w:pPr>
      <w:rPr>
        <w:rFonts w:ascii="Ericsson Capital TT" w:hAnsi="Ericsson Capital TT" w:hint="default"/>
      </w:rPr>
    </w:lvl>
  </w:abstractNum>
  <w:abstractNum w:abstractNumId="41" w15:restartNumberingAfterBreak="0">
    <w:nsid w:val="7CB04515"/>
    <w:multiLevelType w:val="hybridMultilevel"/>
    <w:tmpl w:val="EA58F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2743C5"/>
    <w:multiLevelType w:val="hybridMultilevel"/>
    <w:tmpl w:val="472CC38C"/>
    <w:lvl w:ilvl="0" w:tplc="08090001">
      <w:start w:val="1"/>
      <w:numFmt w:val="bullet"/>
      <w:lvlText w:val=""/>
      <w:lvlJc w:val="left"/>
      <w:pPr>
        <w:ind w:left="786" w:hanging="360"/>
      </w:pPr>
      <w:rPr>
        <w:rFonts w:ascii="Symbol" w:hAnsi="Symbol" w:hint="default"/>
      </w:rPr>
    </w:lvl>
    <w:lvl w:ilvl="1" w:tplc="08090003">
      <w:start w:val="1"/>
      <w:numFmt w:val="bullet"/>
      <w:lvlText w:val="o"/>
      <w:lvlJc w:val="left"/>
      <w:pPr>
        <w:ind w:left="1506" w:hanging="360"/>
      </w:pPr>
      <w:rPr>
        <w:rFonts w:ascii="Courier New" w:hAnsi="Courier New" w:cs="Courier New" w:hint="default"/>
      </w:rPr>
    </w:lvl>
    <w:lvl w:ilvl="2" w:tplc="08090005">
      <w:start w:val="1"/>
      <w:numFmt w:val="bullet"/>
      <w:lvlText w:val=""/>
      <w:lvlJc w:val="left"/>
      <w:pPr>
        <w:ind w:left="2226" w:hanging="360"/>
      </w:pPr>
      <w:rPr>
        <w:rFonts w:ascii="Wingdings" w:hAnsi="Wingdings" w:hint="default"/>
      </w:rPr>
    </w:lvl>
    <w:lvl w:ilvl="3" w:tplc="08090001">
      <w:start w:val="1"/>
      <w:numFmt w:val="bullet"/>
      <w:lvlText w:val=""/>
      <w:lvlJc w:val="left"/>
      <w:pPr>
        <w:ind w:left="2946" w:hanging="360"/>
      </w:pPr>
      <w:rPr>
        <w:rFonts w:ascii="Symbol" w:hAnsi="Symbol" w:hint="default"/>
      </w:rPr>
    </w:lvl>
    <w:lvl w:ilvl="4" w:tplc="08090003">
      <w:start w:val="1"/>
      <w:numFmt w:val="bullet"/>
      <w:lvlText w:val="o"/>
      <w:lvlJc w:val="left"/>
      <w:pPr>
        <w:ind w:left="3666" w:hanging="360"/>
      </w:pPr>
      <w:rPr>
        <w:rFonts w:ascii="Courier New" w:hAnsi="Courier New" w:cs="Courier New" w:hint="default"/>
      </w:rPr>
    </w:lvl>
    <w:lvl w:ilvl="5" w:tplc="08090005">
      <w:start w:val="1"/>
      <w:numFmt w:val="bullet"/>
      <w:lvlText w:val=""/>
      <w:lvlJc w:val="left"/>
      <w:pPr>
        <w:ind w:left="4386" w:hanging="360"/>
      </w:pPr>
      <w:rPr>
        <w:rFonts w:ascii="Wingdings" w:hAnsi="Wingdings" w:hint="default"/>
      </w:rPr>
    </w:lvl>
    <w:lvl w:ilvl="6" w:tplc="08090001">
      <w:start w:val="1"/>
      <w:numFmt w:val="bullet"/>
      <w:lvlText w:val=""/>
      <w:lvlJc w:val="left"/>
      <w:pPr>
        <w:ind w:left="5106" w:hanging="360"/>
      </w:pPr>
      <w:rPr>
        <w:rFonts w:ascii="Symbol" w:hAnsi="Symbol" w:hint="default"/>
      </w:rPr>
    </w:lvl>
    <w:lvl w:ilvl="7" w:tplc="08090003">
      <w:start w:val="1"/>
      <w:numFmt w:val="bullet"/>
      <w:lvlText w:val="o"/>
      <w:lvlJc w:val="left"/>
      <w:pPr>
        <w:ind w:left="5826" w:hanging="360"/>
      </w:pPr>
      <w:rPr>
        <w:rFonts w:ascii="Courier New" w:hAnsi="Courier New" w:cs="Courier New" w:hint="default"/>
      </w:rPr>
    </w:lvl>
    <w:lvl w:ilvl="8" w:tplc="08090005">
      <w:start w:val="1"/>
      <w:numFmt w:val="bullet"/>
      <w:lvlText w:val=""/>
      <w:lvlJc w:val="left"/>
      <w:pPr>
        <w:ind w:left="6546" w:hanging="360"/>
      </w:pPr>
      <w:rPr>
        <w:rFonts w:ascii="Wingdings" w:hAnsi="Wingdings" w:hint="default"/>
      </w:rPr>
    </w:lvl>
  </w:abstractNum>
  <w:num w:numId="1">
    <w:abstractNumId w:val="6"/>
  </w:num>
  <w:num w:numId="2">
    <w:abstractNumId w:val="28"/>
  </w:num>
  <w:num w:numId="3">
    <w:abstractNumId w:val="20"/>
  </w:num>
  <w:num w:numId="4">
    <w:abstractNumId w:val="21"/>
  </w:num>
  <w:num w:numId="5">
    <w:abstractNumId w:val="18"/>
  </w:num>
  <w:num w:numId="6">
    <w:abstractNumId w:val="24"/>
  </w:num>
  <w:num w:numId="7">
    <w:abstractNumId w:val="31"/>
  </w:num>
  <w:num w:numId="8">
    <w:abstractNumId w:val="19"/>
  </w:num>
  <w:num w:numId="9">
    <w:abstractNumId w:val="16"/>
  </w:num>
  <w:num w:numId="10">
    <w:abstractNumId w:val="3"/>
  </w:num>
  <w:num w:numId="11">
    <w:abstractNumId w:val="2"/>
  </w:num>
  <w:num w:numId="12">
    <w:abstractNumId w:val="1"/>
  </w:num>
  <w:num w:numId="13">
    <w:abstractNumId w:val="30"/>
  </w:num>
  <w:num w:numId="14">
    <w:abstractNumId w:val="0"/>
  </w:num>
  <w:num w:numId="15">
    <w:abstractNumId w:val="35"/>
  </w:num>
  <w:num w:numId="16">
    <w:abstractNumId w:val="10"/>
  </w:num>
  <w:num w:numId="17">
    <w:abstractNumId w:val="22"/>
  </w:num>
  <w:num w:numId="18">
    <w:abstractNumId w:val="7"/>
  </w:num>
  <w:num w:numId="19">
    <w:abstractNumId w:val="38"/>
  </w:num>
  <w:num w:numId="20">
    <w:abstractNumId w:val="12"/>
  </w:num>
  <w:num w:numId="21">
    <w:abstractNumId w:val="27"/>
  </w:num>
  <w:num w:numId="22">
    <w:abstractNumId w:val="29"/>
  </w:num>
  <w:num w:numId="23">
    <w:abstractNumId w:val="42"/>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9"/>
  </w:num>
  <w:num w:numId="27">
    <w:abstractNumId w:val="25"/>
  </w:num>
  <w:num w:numId="28">
    <w:abstractNumId w:val="34"/>
  </w:num>
  <w:num w:numId="29">
    <w:abstractNumId w:val="11"/>
  </w:num>
  <w:num w:numId="30">
    <w:abstractNumId w:val="33"/>
  </w:num>
  <w:num w:numId="31">
    <w:abstractNumId w:val="23"/>
  </w:num>
  <w:num w:numId="32">
    <w:abstractNumId w:val="4"/>
  </w:num>
  <w:num w:numId="33">
    <w:abstractNumId w:val="37"/>
  </w:num>
  <w:num w:numId="34">
    <w:abstractNumId w:val="8"/>
  </w:num>
  <w:num w:numId="35">
    <w:abstractNumId w:val="32"/>
  </w:num>
  <w:num w:numId="36">
    <w:abstractNumId w:val="36"/>
  </w:num>
  <w:num w:numId="37">
    <w:abstractNumId w:val="5"/>
  </w:num>
  <w:num w:numId="38">
    <w:abstractNumId w:val="40"/>
  </w:num>
  <w:num w:numId="39">
    <w:abstractNumId w:val="14"/>
  </w:num>
  <w:num w:numId="40">
    <w:abstractNumId w:val="15"/>
  </w:num>
  <w:num w:numId="41">
    <w:abstractNumId w:val="9"/>
  </w:num>
  <w:num w:numId="42">
    <w:abstractNumId w:val="30"/>
  </w:num>
  <w:num w:numId="43">
    <w:abstractNumId w:val="17"/>
  </w:num>
  <w:num w:numId="44">
    <w:abstractNumId w:val="20"/>
  </w:num>
  <w:num w:numId="45">
    <w:abstractNumId w:val="41"/>
  </w:num>
  <w:num w:numId="46">
    <w:abstractNumId w:val="20"/>
  </w:num>
  <w:num w:numId="47">
    <w:abstractNumId w:val="13"/>
  </w:num>
  <w:num w:numId="48">
    <w:abstractNumId w:val="20"/>
  </w:num>
  <w:num w:numId="49">
    <w:abstractNumId w:val="20"/>
  </w:num>
  <w:num w:numId="50">
    <w:abstractNumId w:val="30"/>
  </w:num>
  <w:num w:numId="51">
    <w:abstractNumId w:val="20"/>
  </w:num>
  <w:num w:numId="52">
    <w:abstractNumId w:val="30"/>
  </w:num>
  <w:num w:numId="53">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457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C25"/>
    <w:rsid w:val="000006E1"/>
    <w:rsid w:val="00002A37"/>
    <w:rsid w:val="000039F4"/>
    <w:rsid w:val="00006446"/>
    <w:rsid w:val="00006896"/>
    <w:rsid w:val="00007CDC"/>
    <w:rsid w:val="00011B28"/>
    <w:rsid w:val="00015D15"/>
    <w:rsid w:val="00020607"/>
    <w:rsid w:val="00021B2D"/>
    <w:rsid w:val="00023AC6"/>
    <w:rsid w:val="0002564D"/>
    <w:rsid w:val="00025ECA"/>
    <w:rsid w:val="000278A4"/>
    <w:rsid w:val="000325B8"/>
    <w:rsid w:val="00034C15"/>
    <w:rsid w:val="00036BA1"/>
    <w:rsid w:val="00040957"/>
    <w:rsid w:val="000422E2"/>
    <w:rsid w:val="00042F22"/>
    <w:rsid w:val="000444EF"/>
    <w:rsid w:val="00051335"/>
    <w:rsid w:val="00052101"/>
    <w:rsid w:val="00052A07"/>
    <w:rsid w:val="000534E3"/>
    <w:rsid w:val="00055CA3"/>
    <w:rsid w:val="00055EAD"/>
    <w:rsid w:val="0005606A"/>
    <w:rsid w:val="00057117"/>
    <w:rsid w:val="00057528"/>
    <w:rsid w:val="000575C4"/>
    <w:rsid w:val="000616E7"/>
    <w:rsid w:val="0006487E"/>
    <w:rsid w:val="00065048"/>
    <w:rsid w:val="00065E1A"/>
    <w:rsid w:val="00073473"/>
    <w:rsid w:val="000775EC"/>
    <w:rsid w:val="00077E5F"/>
    <w:rsid w:val="0008036A"/>
    <w:rsid w:val="00081AE6"/>
    <w:rsid w:val="000855EB"/>
    <w:rsid w:val="00085B52"/>
    <w:rsid w:val="000866F2"/>
    <w:rsid w:val="0009009F"/>
    <w:rsid w:val="00091557"/>
    <w:rsid w:val="000924C1"/>
    <w:rsid w:val="000924F0"/>
    <w:rsid w:val="00093474"/>
    <w:rsid w:val="00094656"/>
    <w:rsid w:val="0009510F"/>
    <w:rsid w:val="000A1B7B"/>
    <w:rsid w:val="000A302D"/>
    <w:rsid w:val="000A42E9"/>
    <w:rsid w:val="000A4A38"/>
    <w:rsid w:val="000A56F2"/>
    <w:rsid w:val="000B2719"/>
    <w:rsid w:val="000B3A8F"/>
    <w:rsid w:val="000B4AB9"/>
    <w:rsid w:val="000B54AB"/>
    <w:rsid w:val="000B58C3"/>
    <w:rsid w:val="000B61E9"/>
    <w:rsid w:val="000C165A"/>
    <w:rsid w:val="000C2C61"/>
    <w:rsid w:val="000C2E19"/>
    <w:rsid w:val="000C4BEE"/>
    <w:rsid w:val="000C4D76"/>
    <w:rsid w:val="000D0D07"/>
    <w:rsid w:val="000D3105"/>
    <w:rsid w:val="000D4797"/>
    <w:rsid w:val="000D527C"/>
    <w:rsid w:val="000E0527"/>
    <w:rsid w:val="000E1E92"/>
    <w:rsid w:val="000F06D6"/>
    <w:rsid w:val="000F0EB1"/>
    <w:rsid w:val="000F1106"/>
    <w:rsid w:val="000F3BE9"/>
    <w:rsid w:val="000F3F6C"/>
    <w:rsid w:val="000F6DF3"/>
    <w:rsid w:val="001005FF"/>
    <w:rsid w:val="00103565"/>
    <w:rsid w:val="0010615C"/>
    <w:rsid w:val="001062FB"/>
    <w:rsid w:val="001063E6"/>
    <w:rsid w:val="00110463"/>
    <w:rsid w:val="00113CF4"/>
    <w:rsid w:val="001153EA"/>
    <w:rsid w:val="00115643"/>
    <w:rsid w:val="00116765"/>
    <w:rsid w:val="001219F5"/>
    <w:rsid w:val="00121A20"/>
    <w:rsid w:val="0012377F"/>
    <w:rsid w:val="00124314"/>
    <w:rsid w:val="001247DE"/>
    <w:rsid w:val="00125F25"/>
    <w:rsid w:val="0012642C"/>
    <w:rsid w:val="00126B4A"/>
    <w:rsid w:val="00132FD0"/>
    <w:rsid w:val="001344C0"/>
    <w:rsid w:val="001346FA"/>
    <w:rsid w:val="00135252"/>
    <w:rsid w:val="00137AB5"/>
    <w:rsid w:val="00137F0B"/>
    <w:rsid w:val="00151E23"/>
    <w:rsid w:val="001526E0"/>
    <w:rsid w:val="001546BB"/>
    <w:rsid w:val="001551B5"/>
    <w:rsid w:val="00156DAD"/>
    <w:rsid w:val="001659C1"/>
    <w:rsid w:val="00166967"/>
    <w:rsid w:val="00173A8E"/>
    <w:rsid w:val="00177795"/>
    <w:rsid w:val="0018143F"/>
    <w:rsid w:val="00182E85"/>
    <w:rsid w:val="00183347"/>
    <w:rsid w:val="0018645E"/>
    <w:rsid w:val="00190AC1"/>
    <w:rsid w:val="00192AEB"/>
    <w:rsid w:val="0019341A"/>
    <w:rsid w:val="001948BC"/>
    <w:rsid w:val="00197DF9"/>
    <w:rsid w:val="001A1987"/>
    <w:rsid w:val="001A2564"/>
    <w:rsid w:val="001A6173"/>
    <w:rsid w:val="001A6592"/>
    <w:rsid w:val="001A6A9A"/>
    <w:rsid w:val="001A6CBA"/>
    <w:rsid w:val="001B0D97"/>
    <w:rsid w:val="001B5A5D"/>
    <w:rsid w:val="001B6FA9"/>
    <w:rsid w:val="001C1CE5"/>
    <w:rsid w:val="001C2FDD"/>
    <w:rsid w:val="001C3534"/>
    <w:rsid w:val="001C3D2A"/>
    <w:rsid w:val="001C6EFB"/>
    <w:rsid w:val="001D51BA"/>
    <w:rsid w:val="001D6342"/>
    <w:rsid w:val="001D685F"/>
    <w:rsid w:val="001D6D53"/>
    <w:rsid w:val="001E1372"/>
    <w:rsid w:val="001E2FA7"/>
    <w:rsid w:val="001E58E2"/>
    <w:rsid w:val="001E7AED"/>
    <w:rsid w:val="001F3916"/>
    <w:rsid w:val="001F54C5"/>
    <w:rsid w:val="001F662C"/>
    <w:rsid w:val="001F7074"/>
    <w:rsid w:val="00200490"/>
    <w:rsid w:val="00201F3A"/>
    <w:rsid w:val="00203084"/>
    <w:rsid w:val="00203F96"/>
    <w:rsid w:val="002069B2"/>
    <w:rsid w:val="002070B1"/>
    <w:rsid w:val="00207FA3"/>
    <w:rsid w:val="00214DA8"/>
    <w:rsid w:val="00215423"/>
    <w:rsid w:val="002158FA"/>
    <w:rsid w:val="00216A7C"/>
    <w:rsid w:val="00220600"/>
    <w:rsid w:val="002224DB"/>
    <w:rsid w:val="00223FCB"/>
    <w:rsid w:val="002252C3"/>
    <w:rsid w:val="00225C54"/>
    <w:rsid w:val="00227066"/>
    <w:rsid w:val="00230765"/>
    <w:rsid w:val="0023199C"/>
    <w:rsid w:val="002319E4"/>
    <w:rsid w:val="002343EA"/>
    <w:rsid w:val="00235632"/>
    <w:rsid w:val="00235872"/>
    <w:rsid w:val="00240C2A"/>
    <w:rsid w:val="00241559"/>
    <w:rsid w:val="002435B3"/>
    <w:rsid w:val="002458EB"/>
    <w:rsid w:val="002500C8"/>
    <w:rsid w:val="0025641E"/>
    <w:rsid w:val="00256492"/>
    <w:rsid w:val="00257543"/>
    <w:rsid w:val="002617E7"/>
    <w:rsid w:val="00264228"/>
    <w:rsid w:val="00264334"/>
    <w:rsid w:val="0026473E"/>
    <w:rsid w:val="00264FD0"/>
    <w:rsid w:val="00266214"/>
    <w:rsid w:val="0026628B"/>
    <w:rsid w:val="002672D1"/>
    <w:rsid w:val="00267C83"/>
    <w:rsid w:val="0027144F"/>
    <w:rsid w:val="00271F3A"/>
    <w:rsid w:val="00272093"/>
    <w:rsid w:val="00273278"/>
    <w:rsid w:val="002737F4"/>
    <w:rsid w:val="002805F5"/>
    <w:rsid w:val="00280751"/>
    <w:rsid w:val="0028280A"/>
    <w:rsid w:val="00283F2C"/>
    <w:rsid w:val="0028588E"/>
    <w:rsid w:val="00286ACD"/>
    <w:rsid w:val="002875D6"/>
    <w:rsid w:val="00287838"/>
    <w:rsid w:val="002907B5"/>
    <w:rsid w:val="00290F4B"/>
    <w:rsid w:val="002923D8"/>
    <w:rsid w:val="00292EB7"/>
    <w:rsid w:val="0029489C"/>
    <w:rsid w:val="00296227"/>
    <w:rsid w:val="00296F44"/>
    <w:rsid w:val="0029777D"/>
    <w:rsid w:val="002A055E"/>
    <w:rsid w:val="002A1D4E"/>
    <w:rsid w:val="002A2869"/>
    <w:rsid w:val="002A7D4A"/>
    <w:rsid w:val="002B24D6"/>
    <w:rsid w:val="002B76F7"/>
    <w:rsid w:val="002C41E6"/>
    <w:rsid w:val="002C52DF"/>
    <w:rsid w:val="002D071A"/>
    <w:rsid w:val="002D34B2"/>
    <w:rsid w:val="002D56CD"/>
    <w:rsid w:val="002D7637"/>
    <w:rsid w:val="002E0E8B"/>
    <w:rsid w:val="002E17F2"/>
    <w:rsid w:val="002E27F6"/>
    <w:rsid w:val="002E7CAE"/>
    <w:rsid w:val="002F2771"/>
    <w:rsid w:val="002F37A9"/>
    <w:rsid w:val="002F580C"/>
    <w:rsid w:val="00301CE6"/>
    <w:rsid w:val="0030256B"/>
    <w:rsid w:val="00304A56"/>
    <w:rsid w:val="0030501F"/>
    <w:rsid w:val="00307220"/>
    <w:rsid w:val="00307BA1"/>
    <w:rsid w:val="00311702"/>
    <w:rsid w:val="00311E82"/>
    <w:rsid w:val="00313FD6"/>
    <w:rsid w:val="003143BD"/>
    <w:rsid w:val="00316053"/>
    <w:rsid w:val="003203ED"/>
    <w:rsid w:val="00322C9F"/>
    <w:rsid w:val="00324D23"/>
    <w:rsid w:val="00331751"/>
    <w:rsid w:val="00331ADD"/>
    <w:rsid w:val="003326B1"/>
    <w:rsid w:val="00334579"/>
    <w:rsid w:val="00335858"/>
    <w:rsid w:val="00336BDA"/>
    <w:rsid w:val="00342BD7"/>
    <w:rsid w:val="00343A07"/>
    <w:rsid w:val="00346DB5"/>
    <w:rsid w:val="003477B1"/>
    <w:rsid w:val="003477F9"/>
    <w:rsid w:val="0035491B"/>
    <w:rsid w:val="00357380"/>
    <w:rsid w:val="003602D9"/>
    <w:rsid w:val="003604CE"/>
    <w:rsid w:val="00370E47"/>
    <w:rsid w:val="003742AC"/>
    <w:rsid w:val="00375DBC"/>
    <w:rsid w:val="00377CE1"/>
    <w:rsid w:val="00385BF0"/>
    <w:rsid w:val="003939FF"/>
    <w:rsid w:val="00394E38"/>
    <w:rsid w:val="003961D5"/>
    <w:rsid w:val="003968C6"/>
    <w:rsid w:val="00396920"/>
    <w:rsid w:val="00397394"/>
    <w:rsid w:val="00397E1B"/>
    <w:rsid w:val="003A2223"/>
    <w:rsid w:val="003A2A0F"/>
    <w:rsid w:val="003A358E"/>
    <w:rsid w:val="003A45A1"/>
    <w:rsid w:val="003A5B0A"/>
    <w:rsid w:val="003A6BAC"/>
    <w:rsid w:val="003A7EF3"/>
    <w:rsid w:val="003B159C"/>
    <w:rsid w:val="003B369F"/>
    <w:rsid w:val="003B36A3"/>
    <w:rsid w:val="003B460B"/>
    <w:rsid w:val="003B7FE5"/>
    <w:rsid w:val="003C11C8"/>
    <w:rsid w:val="003C2702"/>
    <w:rsid w:val="003C7806"/>
    <w:rsid w:val="003C7A52"/>
    <w:rsid w:val="003D109F"/>
    <w:rsid w:val="003D2478"/>
    <w:rsid w:val="003D2ACB"/>
    <w:rsid w:val="003D3C45"/>
    <w:rsid w:val="003D5B1F"/>
    <w:rsid w:val="003E15FA"/>
    <w:rsid w:val="003E55E4"/>
    <w:rsid w:val="003E74E3"/>
    <w:rsid w:val="003F05C7"/>
    <w:rsid w:val="003F2CD4"/>
    <w:rsid w:val="003F3DF4"/>
    <w:rsid w:val="003F6BBE"/>
    <w:rsid w:val="004000E8"/>
    <w:rsid w:val="00401020"/>
    <w:rsid w:val="00402E2B"/>
    <w:rsid w:val="00403C0E"/>
    <w:rsid w:val="0040512B"/>
    <w:rsid w:val="004052B7"/>
    <w:rsid w:val="00405CA5"/>
    <w:rsid w:val="00407CD3"/>
    <w:rsid w:val="00410134"/>
    <w:rsid w:val="00410B72"/>
    <w:rsid w:val="00410F18"/>
    <w:rsid w:val="0041263E"/>
    <w:rsid w:val="00413AAC"/>
    <w:rsid w:val="0042056C"/>
    <w:rsid w:val="00421105"/>
    <w:rsid w:val="004242F4"/>
    <w:rsid w:val="00424B74"/>
    <w:rsid w:val="00427248"/>
    <w:rsid w:val="00433F14"/>
    <w:rsid w:val="00437447"/>
    <w:rsid w:val="00441A92"/>
    <w:rsid w:val="00444F56"/>
    <w:rsid w:val="00446488"/>
    <w:rsid w:val="00447091"/>
    <w:rsid w:val="00451107"/>
    <w:rsid w:val="004517AA"/>
    <w:rsid w:val="00452CAC"/>
    <w:rsid w:val="00455E32"/>
    <w:rsid w:val="00457565"/>
    <w:rsid w:val="00457B71"/>
    <w:rsid w:val="004626FF"/>
    <w:rsid w:val="004669E2"/>
    <w:rsid w:val="00470C31"/>
    <w:rsid w:val="004734D0"/>
    <w:rsid w:val="00474D78"/>
    <w:rsid w:val="0047556B"/>
    <w:rsid w:val="00477768"/>
    <w:rsid w:val="00492BC5"/>
    <w:rsid w:val="004964F1"/>
    <w:rsid w:val="00496D1C"/>
    <w:rsid w:val="004A16BC"/>
    <w:rsid w:val="004A24E9"/>
    <w:rsid w:val="004A2B94"/>
    <w:rsid w:val="004A35D2"/>
    <w:rsid w:val="004A382F"/>
    <w:rsid w:val="004B0AE8"/>
    <w:rsid w:val="004B59D5"/>
    <w:rsid w:val="004B7A5C"/>
    <w:rsid w:val="004B7C0C"/>
    <w:rsid w:val="004C1368"/>
    <w:rsid w:val="004C2DB9"/>
    <w:rsid w:val="004C3898"/>
    <w:rsid w:val="004C509D"/>
    <w:rsid w:val="004C65E1"/>
    <w:rsid w:val="004D2704"/>
    <w:rsid w:val="004D36B1"/>
    <w:rsid w:val="004D4FCD"/>
    <w:rsid w:val="004D7EBD"/>
    <w:rsid w:val="004E2680"/>
    <w:rsid w:val="004E28F9"/>
    <w:rsid w:val="004E462E"/>
    <w:rsid w:val="004E56DC"/>
    <w:rsid w:val="004E76F4"/>
    <w:rsid w:val="004F0B4E"/>
    <w:rsid w:val="004F0B6C"/>
    <w:rsid w:val="004F1FE2"/>
    <w:rsid w:val="004F2078"/>
    <w:rsid w:val="004F4DA3"/>
    <w:rsid w:val="00506557"/>
    <w:rsid w:val="0050677A"/>
    <w:rsid w:val="005108D8"/>
    <w:rsid w:val="005116F9"/>
    <w:rsid w:val="005153A7"/>
    <w:rsid w:val="00516DE7"/>
    <w:rsid w:val="005219CF"/>
    <w:rsid w:val="00533251"/>
    <w:rsid w:val="00533C01"/>
    <w:rsid w:val="00534B59"/>
    <w:rsid w:val="00534CFE"/>
    <w:rsid w:val="00535141"/>
    <w:rsid w:val="00536759"/>
    <w:rsid w:val="00537C62"/>
    <w:rsid w:val="00540077"/>
    <w:rsid w:val="00546187"/>
    <w:rsid w:val="00546970"/>
    <w:rsid w:val="00553E3A"/>
    <w:rsid w:val="00554E19"/>
    <w:rsid w:val="00556A93"/>
    <w:rsid w:val="0056121F"/>
    <w:rsid w:val="005663FA"/>
    <w:rsid w:val="00572505"/>
    <w:rsid w:val="00573C09"/>
    <w:rsid w:val="005757DD"/>
    <w:rsid w:val="00581FC1"/>
    <w:rsid w:val="00582809"/>
    <w:rsid w:val="00582E27"/>
    <w:rsid w:val="00584627"/>
    <w:rsid w:val="0058798C"/>
    <w:rsid w:val="005900FA"/>
    <w:rsid w:val="005916A4"/>
    <w:rsid w:val="005935A4"/>
    <w:rsid w:val="0059473E"/>
    <w:rsid w:val="005948C2"/>
    <w:rsid w:val="00595DCA"/>
    <w:rsid w:val="0059779B"/>
    <w:rsid w:val="005A209A"/>
    <w:rsid w:val="005A2D40"/>
    <w:rsid w:val="005A662D"/>
    <w:rsid w:val="005B0236"/>
    <w:rsid w:val="005B35D7"/>
    <w:rsid w:val="005B385C"/>
    <w:rsid w:val="005B392A"/>
    <w:rsid w:val="005B3AA3"/>
    <w:rsid w:val="005B591A"/>
    <w:rsid w:val="005B6F83"/>
    <w:rsid w:val="005C0E35"/>
    <w:rsid w:val="005C2E8E"/>
    <w:rsid w:val="005C74FB"/>
    <w:rsid w:val="005D1602"/>
    <w:rsid w:val="005D71D3"/>
    <w:rsid w:val="005E385F"/>
    <w:rsid w:val="005E5B81"/>
    <w:rsid w:val="005F02B5"/>
    <w:rsid w:val="005F0717"/>
    <w:rsid w:val="005F2CB1"/>
    <w:rsid w:val="005F3025"/>
    <w:rsid w:val="005F3709"/>
    <w:rsid w:val="005F618C"/>
    <w:rsid w:val="005F70BD"/>
    <w:rsid w:val="005F745C"/>
    <w:rsid w:val="0060283C"/>
    <w:rsid w:val="006045C2"/>
    <w:rsid w:val="00604F14"/>
    <w:rsid w:val="00611B83"/>
    <w:rsid w:val="00613257"/>
    <w:rsid w:val="0062036A"/>
    <w:rsid w:val="00620A71"/>
    <w:rsid w:val="00620D80"/>
    <w:rsid w:val="006234A6"/>
    <w:rsid w:val="00630001"/>
    <w:rsid w:val="006311B3"/>
    <w:rsid w:val="00631CA0"/>
    <w:rsid w:val="0063284C"/>
    <w:rsid w:val="00635F80"/>
    <w:rsid w:val="00636398"/>
    <w:rsid w:val="006368D3"/>
    <w:rsid w:val="006377EC"/>
    <w:rsid w:val="0064151F"/>
    <w:rsid w:val="00641533"/>
    <w:rsid w:val="0064208D"/>
    <w:rsid w:val="00643475"/>
    <w:rsid w:val="0064396A"/>
    <w:rsid w:val="0064624E"/>
    <w:rsid w:val="00650AB9"/>
    <w:rsid w:val="00650D76"/>
    <w:rsid w:val="00654728"/>
    <w:rsid w:val="00655733"/>
    <w:rsid w:val="00655ACD"/>
    <w:rsid w:val="00656A92"/>
    <w:rsid w:val="00656DDE"/>
    <w:rsid w:val="00656E44"/>
    <w:rsid w:val="00657ADB"/>
    <w:rsid w:val="0066011D"/>
    <w:rsid w:val="006607C0"/>
    <w:rsid w:val="006613A6"/>
    <w:rsid w:val="006627A2"/>
    <w:rsid w:val="006627E9"/>
    <w:rsid w:val="006634E6"/>
    <w:rsid w:val="006645AB"/>
    <w:rsid w:val="006655EE"/>
    <w:rsid w:val="00667EE7"/>
    <w:rsid w:val="00670922"/>
    <w:rsid w:val="00670BE1"/>
    <w:rsid w:val="0067218F"/>
    <w:rsid w:val="006741F2"/>
    <w:rsid w:val="00674CC3"/>
    <w:rsid w:val="00675C72"/>
    <w:rsid w:val="00676383"/>
    <w:rsid w:val="006771F9"/>
    <w:rsid w:val="006776D7"/>
    <w:rsid w:val="00681003"/>
    <w:rsid w:val="006817C9"/>
    <w:rsid w:val="00683ECE"/>
    <w:rsid w:val="006841E4"/>
    <w:rsid w:val="00691CAF"/>
    <w:rsid w:val="00695FC2"/>
    <w:rsid w:val="00696949"/>
    <w:rsid w:val="00697052"/>
    <w:rsid w:val="006A2F6C"/>
    <w:rsid w:val="006A46FB"/>
    <w:rsid w:val="006A5E28"/>
    <w:rsid w:val="006A697B"/>
    <w:rsid w:val="006A7AFF"/>
    <w:rsid w:val="006B1816"/>
    <w:rsid w:val="006B1FCF"/>
    <w:rsid w:val="006B2099"/>
    <w:rsid w:val="006B50CF"/>
    <w:rsid w:val="006B5E25"/>
    <w:rsid w:val="006B7018"/>
    <w:rsid w:val="006C03B8"/>
    <w:rsid w:val="006C5EC9"/>
    <w:rsid w:val="006C6059"/>
    <w:rsid w:val="006C7040"/>
    <w:rsid w:val="006C7522"/>
    <w:rsid w:val="006D2FD5"/>
    <w:rsid w:val="006D5433"/>
    <w:rsid w:val="006D6F08"/>
    <w:rsid w:val="006E062C"/>
    <w:rsid w:val="006E28B7"/>
    <w:rsid w:val="006E3310"/>
    <w:rsid w:val="006E4E39"/>
    <w:rsid w:val="006E565E"/>
    <w:rsid w:val="006E5FB2"/>
    <w:rsid w:val="006E673D"/>
    <w:rsid w:val="006E7D3B"/>
    <w:rsid w:val="006F08ED"/>
    <w:rsid w:val="006F1B70"/>
    <w:rsid w:val="006F2D23"/>
    <w:rsid w:val="006F341D"/>
    <w:rsid w:val="006F3CDE"/>
    <w:rsid w:val="006F562C"/>
    <w:rsid w:val="006F58D4"/>
    <w:rsid w:val="006F6F01"/>
    <w:rsid w:val="007028B1"/>
    <w:rsid w:val="0070346E"/>
    <w:rsid w:val="0070386E"/>
    <w:rsid w:val="00704EDB"/>
    <w:rsid w:val="00706101"/>
    <w:rsid w:val="00707072"/>
    <w:rsid w:val="00707D61"/>
    <w:rsid w:val="00712287"/>
    <w:rsid w:val="00712772"/>
    <w:rsid w:val="007148D3"/>
    <w:rsid w:val="00714DD0"/>
    <w:rsid w:val="00715B9A"/>
    <w:rsid w:val="00717149"/>
    <w:rsid w:val="00722C5A"/>
    <w:rsid w:val="00726EA6"/>
    <w:rsid w:val="00727208"/>
    <w:rsid w:val="00727680"/>
    <w:rsid w:val="0073069E"/>
    <w:rsid w:val="007348B1"/>
    <w:rsid w:val="007362A6"/>
    <w:rsid w:val="00736853"/>
    <w:rsid w:val="00736D7D"/>
    <w:rsid w:val="00740E58"/>
    <w:rsid w:val="00744001"/>
    <w:rsid w:val="007445A0"/>
    <w:rsid w:val="00744F29"/>
    <w:rsid w:val="0074524B"/>
    <w:rsid w:val="00747D8B"/>
    <w:rsid w:val="00751228"/>
    <w:rsid w:val="00753C67"/>
    <w:rsid w:val="007571E1"/>
    <w:rsid w:val="007604B2"/>
    <w:rsid w:val="0076195F"/>
    <w:rsid w:val="007637DF"/>
    <w:rsid w:val="00765281"/>
    <w:rsid w:val="00766BAD"/>
    <w:rsid w:val="007730BD"/>
    <w:rsid w:val="00774024"/>
    <w:rsid w:val="0077454F"/>
    <w:rsid w:val="007755F2"/>
    <w:rsid w:val="00775BA9"/>
    <w:rsid w:val="00776971"/>
    <w:rsid w:val="007800C8"/>
    <w:rsid w:val="0078177E"/>
    <w:rsid w:val="0078304C"/>
    <w:rsid w:val="00783673"/>
    <w:rsid w:val="00785490"/>
    <w:rsid w:val="007925EA"/>
    <w:rsid w:val="00793CD8"/>
    <w:rsid w:val="00795C92"/>
    <w:rsid w:val="00796231"/>
    <w:rsid w:val="007A05A2"/>
    <w:rsid w:val="007A1CB3"/>
    <w:rsid w:val="007A306F"/>
    <w:rsid w:val="007A43A6"/>
    <w:rsid w:val="007A512C"/>
    <w:rsid w:val="007A58A6"/>
    <w:rsid w:val="007B27DC"/>
    <w:rsid w:val="007B3D2D"/>
    <w:rsid w:val="007B50AE"/>
    <w:rsid w:val="007B51DF"/>
    <w:rsid w:val="007C05DD"/>
    <w:rsid w:val="007C2BCF"/>
    <w:rsid w:val="007C3D18"/>
    <w:rsid w:val="007C44C4"/>
    <w:rsid w:val="007C60BF"/>
    <w:rsid w:val="007C6A07"/>
    <w:rsid w:val="007C75A1"/>
    <w:rsid w:val="007C77A5"/>
    <w:rsid w:val="007D04E5"/>
    <w:rsid w:val="007D5901"/>
    <w:rsid w:val="007D62F9"/>
    <w:rsid w:val="007D7526"/>
    <w:rsid w:val="007E251F"/>
    <w:rsid w:val="007E4610"/>
    <w:rsid w:val="007E4715"/>
    <w:rsid w:val="007E505B"/>
    <w:rsid w:val="007E7091"/>
    <w:rsid w:val="007F04AC"/>
    <w:rsid w:val="007F2579"/>
    <w:rsid w:val="007F6B42"/>
    <w:rsid w:val="00803FAE"/>
    <w:rsid w:val="0080605F"/>
    <w:rsid w:val="0080640D"/>
    <w:rsid w:val="00807786"/>
    <w:rsid w:val="00807E28"/>
    <w:rsid w:val="00811FCB"/>
    <w:rsid w:val="008158D6"/>
    <w:rsid w:val="00817196"/>
    <w:rsid w:val="00817B4D"/>
    <w:rsid w:val="008235DB"/>
    <w:rsid w:val="00824AB4"/>
    <w:rsid w:val="00825161"/>
    <w:rsid w:val="00825C42"/>
    <w:rsid w:val="00825D25"/>
    <w:rsid w:val="00827BDC"/>
    <w:rsid w:val="00827D6F"/>
    <w:rsid w:val="008324B2"/>
    <w:rsid w:val="008376AC"/>
    <w:rsid w:val="008409D7"/>
    <w:rsid w:val="008444E8"/>
    <w:rsid w:val="008445CB"/>
    <w:rsid w:val="00844E80"/>
    <w:rsid w:val="00846FE7"/>
    <w:rsid w:val="00854F97"/>
    <w:rsid w:val="00856911"/>
    <w:rsid w:val="0086668B"/>
    <w:rsid w:val="008677FD"/>
    <w:rsid w:val="008706D4"/>
    <w:rsid w:val="00870F8A"/>
    <w:rsid w:val="008719A4"/>
    <w:rsid w:val="00871D23"/>
    <w:rsid w:val="00872818"/>
    <w:rsid w:val="00872A82"/>
    <w:rsid w:val="00874312"/>
    <w:rsid w:val="0087437C"/>
    <w:rsid w:val="008749A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39C1"/>
    <w:rsid w:val="008B51A0"/>
    <w:rsid w:val="008B592A"/>
    <w:rsid w:val="008B7B5C"/>
    <w:rsid w:val="008C0C99"/>
    <w:rsid w:val="008C2017"/>
    <w:rsid w:val="008C4958"/>
    <w:rsid w:val="008C4BAA"/>
    <w:rsid w:val="008C6AE8"/>
    <w:rsid w:val="008C7573"/>
    <w:rsid w:val="008D34F1"/>
    <w:rsid w:val="008D39D8"/>
    <w:rsid w:val="008D6D1A"/>
    <w:rsid w:val="008D73A8"/>
    <w:rsid w:val="008E065E"/>
    <w:rsid w:val="008E0927"/>
    <w:rsid w:val="008E1909"/>
    <w:rsid w:val="008F1EAB"/>
    <w:rsid w:val="008F2FC6"/>
    <w:rsid w:val="008F33DC"/>
    <w:rsid w:val="008F477F"/>
    <w:rsid w:val="008F4B4E"/>
    <w:rsid w:val="008F4CF3"/>
    <w:rsid w:val="00902350"/>
    <w:rsid w:val="009027BD"/>
    <w:rsid w:val="0090336B"/>
    <w:rsid w:val="0090457D"/>
    <w:rsid w:val="009053AA"/>
    <w:rsid w:val="00906939"/>
    <w:rsid w:val="00910B7D"/>
    <w:rsid w:val="00911D76"/>
    <w:rsid w:val="00911DFB"/>
    <w:rsid w:val="009139D9"/>
    <w:rsid w:val="00914AD8"/>
    <w:rsid w:val="00914DB8"/>
    <w:rsid w:val="00916079"/>
    <w:rsid w:val="00917CE9"/>
    <w:rsid w:val="00920BF2"/>
    <w:rsid w:val="00922010"/>
    <w:rsid w:val="00925EAF"/>
    <w:rsid w:val="00931BD9"/>
    <w:rsid w:val="00932CC9"/>
    <w:rsid w:val="009368F3"/>
    <w:rsid w:val="00936A21"/>
    <w:rsid w:val="00941636"/>
    <w:rsid w:val="0094354E"/>
    <w:rsid w:val="00943742"/>
    <w:rsid w:val="00945C05"/>
    <w:rsid w:val="00946945"/>
    <w:rsid w:val="00947713"/>
    <w:rsid w:val="00950DE7"/>
    <w:rsid w:val="00951636"/>
    <w:rsid w:val="00951D38"/>
    <w:rsid w:val="00953582"/>
    <w:rsid w:val="00953920"/>
    <w:rsid w:val="00953D47"/>
    <w:rsid w:val="009545E3"/>
    <w:rsid w:val="0095681E"/>
    <w:rsid w:val="009572D4"/>
    <w:rsid w:val="00961921"/>
    <w:rsid w:val="00961DD5"/>
    <w:rsid w:val="0096430A"/>
    <w:rsid w:val="0096554B"/>
    <w:rsid w:val="0096584A"/>
    <w:rsid w:val="009674F3"/>
    <w:rsid w:val="00971F08"/>
    <w:rsid w:val="0097603D"/>
    <w:rsid w:val="00976949"/>
    <w:rsid w:val="00980477"/>
    <w:rsid w:val="00981356"/>
    <w:rsid w:val="00985253"/>
    <w:rsid w:val="009853B3"/>
    <w:rsid w:val="00990630"/>
    <w:rsid w:val="00991761"/>
    <w:rsid w:val="00994DCA"/>
    <w:rsid w:val="009960EC"/>
    <w:rsid w:val="009970DD"/>
    <w:rsid w:val="009A0FBA"/>
    <w:rsid w:val="009A1601"/>
    <w:rsid w:val="009A462D"/>
    <w:rsid w:val="009A5CBA"/>
    <w:rsid w:val="009B1F30"/>
    <w:rsid w:val="009B2947"/>
    <w:rsid w:val="009B3AC2"/>
    <w:rsid w:val="009B4DF4"/>
    <w:rsid w:val="009B564E"/>
    <w:rsid w:val="009B6B0E"/>
    <w:rsid w:val="009B6C65"/>
    <w:rsid w:val="009B7E87"/>
    <w:rsid w:val="009C403E"/>
    <w:rsid w:val="009C5567"/>
    <w:rsid w:val="009D4FF0"/>
    <w:rsid w:val="009D69B6"/>
    <w:rsid w:val="009D703C"/>
    <w:rsid w:val="009D718F"/>
    <w:rsid w:val="009E068F"/>
    <w:rsid w:val="009E0FE9"/>
    <w:rsid w:val="009E14E0"/>
    <w:rsid w:val="009E14E4"/>
    <w:rsid w:val="009E1FE4"/>
    <w:rsid w:val="009E35DB"/>
    <w:rsid w:val="009E47A3"/>
    <w:rsid w:val="009E47E2"/>
    <w:rsid w:val="009E780E"/>
    <w:rsid w:val="009F08F3"/>
    <w:rsid w:val="009F0961"/>
    <w:rsid w:val="009F0E38"/>
    <w:rsid w:val="009F344F"/>
    <w:rsid w:val="009F4A23"/>
    <w:rsid w:val="00A04220"/>
    <w:rsid w:val="00A048A8"/>
    <w:rsid w:val="00A04F49"/>
    <w:rsid w:val="00A105B6"/>
    <w:rsid w:val="00A11D88"/>
    <w:rsid w:val="00A13E54"/>
    <w:rsid w:val="00A17F63"/>
    <w:rsid w:val="00A2052C"/>
    <w:rsid w:val="00A2193B"/>
    <w:rsid w:val="00A2308D"/>
    <w:rsid w:val="00A2351A"/>
    <w:rsid w:val="00A241D6"/>
    <w:rsid w:val="00A264A9"/>
    <w:rsid w:val="00A26A09"/>
    <w:rsid w:val="00A27785"/>
    <w:rsid w:val="00A30187"/>
    <w:rsid w:val="00A3448A"/>
    <w:rsid w:val="00A36297"/>
    <w:rsid w:val="00A41E2B"/>
    <w:rsid w:val="00A45B74"/>
    <w:rsid w:val="00A52E1D"/>
    <w:rsid w:val="00A61499"/>
    <w:rsid w:val="00A6296B"/>
    <w:rsid w:val="00A62A77"/>
    <w:rsid w:val="00A63483"/>
    <w:rsid w:val="00A6512D"/>
    <w:rsid w:val="00A657D7"/>
    <w:rsid w:val="00A660AC"/>
    <w:rsid w:val="00A664F0"/>
    <w:rsid w:val="00A66F55"/>
    <w:rsid w:val="00A67E6C"/>
    <w:rsid w:val="00A71B99"/>
    <w:rsid w:val="00A739D0"/>
    <w:rsid w:val="00A73D35"/>
    <w:rsid w:val="00A761D4"/>
    <w:rsid w:val="00A77EC4"/>
    <w:rsid w:val="00A8047D"/>
    <w:rsid w:val="00A86AFD"/>
    <w:rsid w:val="00A92879"/>
    <w:rsid w:val="00A9442A"/>
    <w:rsid w:val="00A967C0"/>
    <w:rsid w:val="00AA016F"/>
    <w:rsid w:val="00AA1ED6"/>
    <w:rsid w:val="00AA51D6"/>
    <w:rsid w:val="00AB0BC8"/>
    <w:rsid w:val="00AB11CA"/>
    <w:rsid w:val="00AB14D9"/>
    <w:rsid w:val="00AB1AB5"/>
    <w:rsid w:val="00AB3D40"/>
    <w:rsid w:val="00AB4AB8"/>
    <w:rsid w:val="00AB655E"/>
    <w:rsid w:val="00AC007F"/>
    <w:rsid w:val="00AC0969"/>
    <w:rsid w:val="00AC2ECD"/>
    <w:rsid w:val="00AC3119"/>
    <w:rsid w:val="00AC49FB"/>
    <w:rsid w:val="00AC4F62"/>
    <w:rsid w:val="00AC5A10"/>
    <w:rsid w:val="00AD0AA3"/>
    <w:rsid w:val="00AD250F"/>
    <w:rsid w:val="00AD3F94"/>
    <w:rsid w:val="00AD4447"/>
    <w:rsid w:val="00AD4A5A"/>
    <w:rsid w:val="00AE27AC"/>
    <w:rsid w:val="00AE3743"/>
    <w:rsid w:val="00AE40E0"/>
    <w:rsid w:val="00AE4DBA"/>
    <w:rsid w:val="00AE4F07"/>
    <w:rsid w:val="00AF12F8"/>
    <w:rsid w:val="00AF1C5D"/>
    <w:rsid w:val="00AF42D7"/>
    <w:rsid w:val="00AF4833"/>
    <w:rsid w:val="00B006FE"/>
    <w:rsid w:val="00B007CB"/>
    <w:rsid w:val="00B0204F"/>
    <w:rsid w:val="00B02635"/>
    <w:rsid w:val="00B02AA9"/>
    <w:rsid w:val="00B02FA3"/>
    <w:rsid w:val="00B05084"/>
    <w:rsid w:val="00B06859"/>
    <w:rsid w:val="00B157F9"/>
    <w:rsid w:val="00B20256"/>
    <w:rsid w:val="00B20BF1"/>
    <w:rsid w:val="00B20D09"/>
    <w:rsid w:val="00B272DE"/>
    <w:rsid w:val="00B2763F"/>
    <w:rsid w:val="00B27AAC"/>
    <w:rsid w:val="00B30929"/>
    <w:rsid w:val="00B372AA"/>
    <w:rsid w:val="00B40445"/>
    <w:rsid w:val="00B41888"/>
    <w:rsid w:val="00B4393D"/>
    <w:rsid w:val="00B45A52"/>
    <w:rsid w:val="00B46175"/>
    <w:rsid w:val="00B54251"/>
    <w:rsid w:val="00B54F61"/>
    <w:rsid w:val="00B6188F"/>
    <w:rsid w:val="00B6422C"/>
    <w:rsid w:val="00B664C7"/>
    <w:rsid w:val="00B739F6"/>
    <w:rsid w:val="00B7656A"/>
    <w:rsid w:val="00B7722C"/>
    <w:rsid w:val="00B77C74"/>
    <w:rsid w:val="00B81A6C"/>
    <w:rsid w:val="00B85DE5"/>
    <w:rsid w:val="00B90F73"/>
    <w:rsid w:val="00B93B59"/>
    <w:rsid w:val="00B9406A"/>
    <w:rsid w:val="00B94293"/>
    <w:rsid w:val="00BA2280"/>
    <w:rsid w:val="00BA2A08"/>
    <w:rsid w:val="00BA56D2"/>
    <w:rsid w:val="00BA673E"/>
    <w:rsid w:val="00BA76E0"/>
    <w:rsid w:val="00BB2A25"/>
    <w:rsid w:val="00BB51E9"/>
    <w:rsid w:val="00BC0FDC"/>
    <w:rsid w:val="00BC1E09"/>
    <w:rsid w:val="00BC3053"/>
    <w:rsid w:val="00BC3509"/>
    <w:rsid w:val="00BC4D2E"/>
    <w:rsid w:val="00BC7D54"/>
    <w:rsid w:val="00BD48AC"/>
    <w:rsid w:val="00BD5530"/>
    <w:rsid w:val="00BD5F1A"/>
    <w:rsid w:val="00BE1234"/>
    <w:rsid w:val="00BE2FA6"/>
    <w:rsid w:val="00BE333F"/>
    <w:rsid w:val="00BE7406"/>
    <w:rsid w:val="00BE7603"/>
    <w:rsid w:val="00BF0BDA"/>
    <w:rsid w:val="00BF3279"/>
    <w:rsid w:val="00BF74C7"/>
    <w:rsid w:val="00C015F1"/>
    <w:rsid w:val="00C01F33"/>
    <w:rsid w:val="00C02CC6"/>
    <w:rsid w:val="00C040F7"/>
    <w:rsid w:val="00C041B0"/>
    <w:rsid w:val="00C044AB"/>
    <w:rsid w:val="00C0512C"/>
    <w:rsid w:val="00C05706"/>
    <w:rsid w:val="00C07377"/>
    <w:rsid w:val="00C10478"/>
    <w:rsid w:val="00C12107"/>
    <w:rsid w:val="00C121D4"/>
    <w:rsid w:val="00C14D4B"/>
    <w:rsid w:val="00C153A5"/>
    <w:rsid w:val="00C154BB"/>
    <w:rsid w:val="00C15A8C"/>
    <w:rsid w:val="00C24345"/>
    <w:rsid w:val="00C279B5"/>
    <w:rsid w:val="00C27C45"/>
    <w:rsid w:val="00C339DD"/>
    <w:rsid w:val="00C36C40"/>
    <w:rsid w:val="00C3719D"/>
    <w:rsid w:val="00C42B23"/>
    <w:rsid w:val="00C47469"/>
    <w:rsid w:val="00C54995"/>
    <w:rsid w:val="00C54D41"/>
    <w:rsid w:val="00C5738E"/>
    <w:rsid w:val="00C60783"/>
    <w:rsid w:val="00C6109C"/>
    <w:rsid w:val="00C64672"/>
    <w:rsid w:val="00C66146"/>
    <w:rsid w:val="00C70697"/>
    <w:rsid w:val="00C72EF4"/>
    <w:rsid w:val="00C75D2F"/>
    <w:rsid w:val="00C767BE"/>
    <w:rsid w:val="00C76E3C"/>
    <w:rsid w:val="00C80749"/>
    <w:rsid w:val="00C81568"/>
    <w:rsid w:val="00C8709E"/>
    <w:rsid w:val="00C9027A"/>
    <w:rsid w:val="00C9068E"/>
    <w:rsid w:val="00C92FA6"/>
    <w:rsid w:val="00C9300C"/>
    <w:rsid w:val="00C93C4B"/>
    <w:rsid w:val="00C944AB"/>
    <w:rsid w:val="00C95B40"/>
    <w:rsid w:val="00CA02B3"/>
    <w:rsid w:val="00CA1ED8"/>
    <w:rsid w:val="00CA5E34"/>
    <w:rsid w:val="00CB0678"/>
    <w:rsid w:val="00CB1F63"/>
    <w:rsid w:val="00CB2296"/>
    <w:rsid w:val="00CB3524"/>
    <w:rsid w:val="00CB7170"/>
    <w:rsid w:val="00CC000D"/>
    <w:rsid w:val="00CC040E"/>
    <w:rsid w:val="00CC0DDF"/>
    <w:rsid w:val="00CC111F"/>
    <w:rsid w:val="00CC2011"/>
    <w:rsid w:val="00CC3EA0"/>
    <w:rsid w:val="00CC7B45"/>
    <w:rsid w:val="00CC7B6E"/>
    <w:rsid w:val="00CD1188"/>
    <w:rsid w:val="00CD2ED1"/>
    <w:rsid w:val="00CD337B"/>
    <w:rsid w:val="00CD5C16"/>
    <w:rsid w:val="00CD7874"/>
    <w:rsid w:val="00CD7DBA"/>
    <w:rsid w:val="00CE0424"/>
    <w:rsid w:val="00CE7561"/>
    <w:rsid w:val="00CF049A"/>
    <w:rsid w:val="00CF1354"/>
    <w:rsid w:val="00CF3B1F"/>
    <w:rsid w:val="00CF3BF6"/>
    <w:rsid w:val="00CF625B"/>
    <w:rsid w:val="00CF687E"/>
    <w:rsid w:val="00D020CC"/>
    <w:rsid w:val="00D0349B"/>
    <w:rsid w:val="00D03FC1"/>
    <w:rsid w:val="00D05F90"/>
    <w:rsid w:val="00D10249"/>
    <w:rsid w:val="00D115C3"/>
    <w:rsid w:val="00D11897"/>
    <w:rsid w:val="00D13135"/>
    <w:rsid w:val="00D13E4E"/>
    <w:rsid w:val="00D239A7"/>
    <w:rsid w:val="00D23F47"/>
    <w:rsid w:val="00D25322"/>
    <w:rsid w:val="00D26050"/>
    <w:rsid w:val="00D36E71"/>
    <w:rsid w:val="00D37AE7"/>
    <w:rsid w:val="00D37D87"/>
    <w:rsid w:val="00D40B33"/>
    <w:rsid w:val="00D4318F"/>
    <w:rsid w:val="00D438BF"/>
    <w:rsid w:val="00D440F8"/>
    <w:rsid w:val="00D46771"/>
    <w:rsid w:val="00D50F97"/>
    <w:rsid w:val="00D546FF"/>
    <w:rsid w:val="00D559E7"/>
    <w:rsid w:val="00D55AD5"/>
    <w:rsid w:val="00D56379"/>
    <w:rsid w:val="00D56BE8"/>
    <w:rsid w:val="00D576CA"/>
    <w:rsid w:val="00D61AF5"/>
    <w:rsid w:val="00D652B5"/>
    <w:rsid w:val="00D66155"/>
    <w:rsid w:val="00D70883"/>
    <w:rsid w:val="00D708B0"/>
    <w:rsid w:val="00D77B1D"/>
    <w:rsid w:val="00D8021F"/>
    <w:rsid w:val="00D80383"/>
    <w:rsid w:val="00D823C6"/>
    <w:rsid w:val="00D86CA3"/>
    <w:rsid w:val="00D871CE"/>
    <w:rsid w:val="00D9196D"/>
    <w:rsid w:val="00D92982"/>
    <w:rsid w:val="00D9541A"/>
    <w:rsid w:val="00D95919"/>
    <w:rsid w:val="00D95B83"/>
    <w:rsid w:val="00DA305E"/>
    <w:rsid w:val="00DA4851"/>
    <w:rsid w:val="00DA5417"/>
    <w:rsid w:val="00DA56E8"/>
    <w:rsid w:val="00DA76E3"/>
    <w:rsid w:val="00DB0A9F"/>
    <w:rsid w:val="00DB377D"/>
    <w:rsid w:val="00DB38AE"/>
    <w:rsid w:val="00DB575F"/>
    <w:rsid w:val="00DB6C25"/>
    <w:rsid w:val="00DB6F44"/>
    <w:rsid w:val="00DC2D36"/>
    <w:rsid w:val="00DC53EF"/>
    <w:rsid w:val="00DE45AD"/>
    <w:rsid w:val="00DE5608"/>
    <w:rsid w:val="00DE58D0"/>
    <w:rsid w:val="00DE654F"/>
    <w:rsid w:val="00DF0929"/>
    <w:rsid w:val="00DF0B6E"/>
    <w:rsid w:val="00DF15E0"/>
    <w:rsid w:val="00DF2D46"/>
    <w:rsid w:val="00DF356A"/>
    <w:rsid w:val="00DF37A0"/>
    <w:rsid w:val="00E110E7"/>
    <w:rsid w:val="00E11B20"/>
    <w:rsid w:val="00E17FA2"/>
    <w:rsid w:val="00E22330"/>
    <w:rsid w:val="00E27015"/>
    <w:rsid w:val="00E30B5A"/>
    <w:rsid w:val="00E3123D"/>
    <w:rsid w:val="00E31461"/>
    <w:rsid w:val="00E31D43"/>
    <w:rsid w:val="00E32608"/>
    <w:rsid w:val="00E33071"/>
    <w:rsid w:val="00E332F6"/>
    <w:rsid w:val="00E339B4"/>
    <w:rsid w:val="00E33B5D"/>
    <w:rsid w:val="00E34188"/>
    <w:rsid w:val="00E34B6E"/>
    <w:rsid w:val="00E35559"/>
    <w:rsid w:val="00E356BC"/>
    <w:rsid w:val="00E3723A"/>
    <w:rsid w:val="00E37860"/>
    <w:rsid w:val="00E40CEF"/>
    <w:rsid w:val="00E446F1"/>
    <w:rsid w:val="00E46886"/>
    <w:rsid w:val="00E47AEF"/>
    <w:rsid w:val="00E53B75"/>
    <w:rsid w:val="00E54E3B"/>
    <w:rsid w:val="00E57565"/>
    <w:rsid w:val="00E63838"/>
    <w:rsid w:val="00E64434"/>
    <w:rsid w:val="00E67C51"/>
    <w:rsid w:val="00E72EFC"/>
    <w:rsid w:val="00E751B4"/>
    <w:rsid w:val="00E758EC"/>
    <w:rsid w:val="00E81603"/>
    <w:rsid w:val="00E8234C"/>
    <w:rsid w:val="00E82855"/>
    <w:rsid w:val="00E83AA9"/>
    <w:rsid w:val="00E85928"/>
    <w:rsid w:val="00E85CF6"/>
    <w:rsid w:val="00E87822"/>
    <w:rsid w:val="00E90395"/>
    <w:rsid w:val="00E90E49"/>
    <w:rsid w:val="00E91064"/>
    <w:rsid w:val="00E917F9"/>
    <w:rsid w:val="00E9291C"/>
    <w:rsid w:val="00E93FFE"/>
    <w:rsid w:val="00E94F8A"/>
    <w:rsid w:val="00EA7A41"/>
    <w:rsid w:val="00EB0280"/>
    <w:rsid w:val="00EB077B"/>
    <w:rsid w:val="00EB4EA2"/>
    <w:rsid w:val="00EB60BD"/>
    <w:rsid w:val="00EB6DBF"/>
    <w:rsid w:val="00EC17D5"/>
    <w:rsid w:val="00EC27C6"/>
    <w:rsid w:val="00EC4207"/>
    <w:rsid w:val="00EC5653"/>
    <w:rsid w:val="00EC71CE"/>
    <w:rsid w:val="00ED1006"/>
    <w:rsid w:val="00EE16AF"/>
    <w:rsid w:val="00EE1918"/>
    <w:rsid w:val="00EE308A"/>
    <w:rsid w:val="00EE6805"/>
    <w:rsid w:val="00EF18FE"/>
    <w:rsid w:val="00EF5787"/>
    <w:rsid w:val="00EF5D20"/>
    <w:rsid w:val="00EF60D0"/>
    <w:rsid w:val="00F03E54"/>
    <w:rsid w:val="00F0528D"/>
    <w:rsid w:val="00F06C67"/>
    <w:rsid w:val="00F06DFD"/>
    <w:rsid w:val="00F071D1"/>
    <w:rsid w:val="00F07533"/>
    <w:rsid w:val="00F10495"/>
    <w:rsid w:val="00F10629"/>
    <w:rsid w:val="00F15FA5"/>
    <w:rsid w:val="00F163BF"/>
    <w:rsid w:val="00F16697"/>
    <w:rsid w:val="00F209B7"/>
    <w:rsid w:val="00F22733"/>
    <w:rsid w:val="00F2376F"/>
    <w:rsid w:val="00F243D8"/>
    <w:rsid w:val="00F2621A"/>
    <w:rsid w:val="00F30828"/>
    <w:rsid w:val="00F313D6"/>
    <w:rsid w:val="00F40F0C"/>
    <w:rsid w:val="00F4766C"/>
    <w:rsid w:val="00F507D1"/>
    <w:rsid w:val="00F519CE"/>
    <w:rsid w:val="00F51ADA"/>
    <w:rsid w:val="00F543B0"/>
    <w:rsid w:val="00F607C5"/>
    <w:rsid w:val="00F60DEA"/>
    <w:rsid w:val="00F6302A"/>
    <w:rsid w:val="00F64198"/>
    <w:rsid w:val="00F64C2B"/>
    <w:rsid w:val="00F64D97"/>
    <w:rsid w:val="00F651BE"/>
    <w:rsid w:val="00F652CE"/>
    <w:rsid w:val="00F67F53"/>
    <w:rsid w:val="00F703BE"/>
    <w:rsid w:val="00F71F69"/>
    <w:rsid w:val="00F72B72"/>
    <w:rsid w:val="00F74BB9"/>
    <w:rsid w:val="00F75582"/>
    <w:rsid w:val="00F76CA4"/>
    <w:rsid w:val="00F76EFA"/>
    <w:rsid w:val="00F804BE"/>
    <w:rsid w:val="00F817CE"/>
    <w:rsid w:val="00F8456C"/>
    <w:rsid w:val="00F859D8"/>
    <w:rsid w:val="00F868F5"/>
    <w:rsid w:val="00F9056A"/>
    <w:rsid w:val="00F90F8D"/>
    <w:rsid w:val="00F92782"/>
    <w:rsid w:val="00F93A29"/>
    <w:rsid w:val="00F93AA9"/>
    <w:rsid w:val="00F968E5"/>
    <w:rsid w:val="00F96985"/>
    <w:rsid w:val="00F97838"/>
    <w:rsid w:val="00FA2BB3"/>
    <w:rsid w:val="00FB2833"/>
    <w:rsid w:val="00FB287B"/>
    <w:rsid w:val="00FB4C80"/>
    <w:rsid w:val="00FB6A6A"/>
    <w:rsid w:val="00FC3D90"/>
    <w:rsid w:val="00FC4D7E"/>
    <w:rsid w:val="00FC7429"/>
    <w:rsid w:val="00FD07F6"/>
    <w:rsid w:val="00FD1EC8"/>
    <w:rsid w:val="00FD47ED"/>
    <w:rsid w:val="00FD536B"/>
    <w:rsid w:val="00FD74DB"/>
    <w:rsid w:val="00FD7660"/>
    <w:rsid w:val="00FE0655"/>
    <w:rsid w:val="00FE1D29"/>
    <w:rsid w:val="00FE2365"/>
    <w:rsid w:val="00FE4C7B"/>
    <w:rsid w:val="00FE7336"/>
    <w:rsid w:val="00FE787C"/>
    <w:rsid w:val="00FF45A5"/>
    <w:rsid w:val="00FF4F9A"/>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C69EBAA"/>
  <w15:chartTrackingRefBased/>
  <w15:docId w15:val="{E4D1A86E-403F-45EF-8CB9-D84480854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D69B6"/>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9D69B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Heading 2 Char"/>
    <w:basedOn w:val="Heading1"/>
    <w:next w:val="Normal"/>
    <w:qFormat/>
    <w:rsid w:val="009D69B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9D69B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qFormat/>
    <w:rsid w:val="009D69B6"/>
    <w:pPr>
      <w:numPr>
        <w:ilvl w:val="3"/>
      </w:numPr>
      <w:outlineLvl w:val="3"/>
    </w:pPr>
    <w:rPr>
      <w:sz w:val="24"/>
      <w:szCs w:val="24"/>
    </w:rPr>
  </w:style>
  <w:style w:type="paragraph" w:styleId="Heading5">
    <w:name w:val="heading 5"/>
    <w:basedOn w:val="Heading4"/>
    <w:next w:val="Normal"/>
    <w:qFormat/>
    <w:rsid w:val="009D69B6"/>
    <w:pPr>
      <w:numPr>
        <w:ilvl w:val="4"/>
      </w:numPr>
      <w:outlineLvl w:val="4"/>
    </w:pPr>
    <w:rPr>
      <w:sz w:val="22"/>
      <w:szCs w:val="22"/>
    </w:rPr>
  </w:style>
  <w:style w:type="paragraph" w:styleId="Heading6">
    <w:name w:val="heading 6"/>
    <w:basedOn w:val="Normal"/>
    <w:next w:val="Normal"/>
    <w:qFormat/>
    <w:rsid w:val="009D69B6"/>
    <w:pPr>
      <w:keepNext/>
      <w:keepLines/>
      <w:numPr>
        <w:ilvl w:val="5"/>
        <w:numId w:val="1"/>
      </w:numPr>
      <w:spacing w:before="120"/>
      <w:outlineLvl w:val="5"/>
    </w:pPr>
    <w:rPr>
      <w:rFonts w:cs="Arial"/>
    </w:rPr>
  </w:style>
  <w:style w:type="paragraph" w:styleId="Heading7">
    <w:name w:val="heading 7"/>
    <w:basedOn w:val="Normal"/>
    <w:next w:val="Normal"/>
    <w:qFormat/>
    <w:rsid w:val="009D69B6"/>
    <w:pPr>
      <w:keepNext/>
      <w:keepLines/>
      <w:numPr>
        <w:ilvl w:val="6"/>
        <w:numId w:val="1"/>
      </w:numPr>
      <w:spacing w:before="120"/>
      <w:outlineLvl w:val="6"/>
    </w:pPr>
    <w:rPr>
      <w:rFonts w:cs="Arial"/>
    </w:rPr>
  </w:style>
  <w:style w:type="paragraph" w:styleId="Heading8">
    <w:name w:val="heading 8"/>
    <w:basedOn w:val="Heading7"/>
    <w:next w:val="Normal"/>
    <w:qFormat/>
    <w:rsid w:val="009D69B6"/>
    <w:pPr>
      <w:numPr>
        <w:ilvl w:val="7"/>
      </w:numPr>
      <w:outlineLvl w:val="7"/>
    </w:pPr>
  </w:style>
  <w:style w:type="paragraph" w:styleId="Heading9">
    <w:name w:val="heading 9"/>
    <w:basedOn w:val="Heading8"/>
    <w:next w:val="Normal"/>
    <w:qFormat/>
    <w:rsid w:val="009D69B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D69B6"/>
    <w:pPr>
      <w:spacing w:before="180"/>
      <w:ind w:left="2693" w:hanging="2693"/>
    </w:pPr>
    <w:rPr>
      <w:b w:val="0"/>
      <w:bCs/>
    </w:rPr>
  </w:style>
  <w:style w:type="paragraph" w:styleId="TOC1">
    <w:name w:val="toc 1"/>
    <w:aliases w:val="Observation TOC2"/>
    <w:uiPriority w:val="39"/>
    <w:rsid w:val="009D69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D69B6"/>
    <w:pPr>
      <w:keepNext/>
      <w:keepLines/>
      <w:spacing w:before="180"/>
      <w:jc w:val="center"/>
    </w:pPr>
  </w:style>
  <w:style w:type="paragraph" w:styleId="Caption">
    <w:name w:val="caption"/>
    <w:basedOn w:val="Normal"/>
    <w:next w:val="Normal"/>
    <w:qFormat/>
    <w:rsid w:val="009D69B6"/>
    <w:pPr>
      <w:spacing w:after="240"/>
      <w:jc w:val="center"/>
    </w:pPr>
    <w:rPr>
      <w:b/>
      <w:bCs/>
    </w:rPr>
  </w:style>
  <w:style w:type="paragraph" w:styleId="TOC5">
    <w:name w:val="toc 5"/>
    <w:aliases w:val="Observation TOC"/>
    <w:basedOn w:val="TOC4"/>
    <w:semiHidden/>
    <w:rsid w:val="009D69B6"/>
    <w:pPr>
      <w:tabs>
        <w:tab w:val="right" w:pos="1701"/>
      </w:tabs>
      <w:ind w:left="1701" w:hanging="1701"/>
    </w:pPr>
  </w:style>
  <w:style w:type="paragraph" w:styleId="TOC4">
    <w:name w:val="toc 4"/>
    <w:basedOn w:val="TOC3"/>
    <w:semiHidden/>
    <w:rsid w:val="009D69B6"/>
    <w:pPr>
      <w:ind w:left="1418" w:hanging="1418"/>
    </w:pPr>
  </w:style>
  <w:style w:type="paragraph" w:styleId="TOC3">
    <w:name w:val="toc 3"/>
    <w:basedOn w:val="TOC2"/>
    <w:semiHidden/>
    <w:rsid w:val="009D69B6"/>
    <w:pPr>
      <w:ind w:left="1134" w:hanging="1134"/>
    </w:pPr>
  </w:style>
  <w:style w:type="paragraph" w:styleId="TOC2">
    <w:name w:val="toc 2"/>
    <w:basedOn w:val="TOC1"/>
    <w:semiHidden/>
    <w:rsid w:val="009D69B6"/>
    <w:pPr>
      <w:keepNext w:val="0"/>
      <w:spacing w:before="0"/>
      <w:ind w:left="851" w:hanging="851"/>
    </w:pPr>
    <w:rPr>
      <w:szCs w:val="20"/>
    </w:rPr>
  </w:style>
  <w:style w:type="paragraph" w:styleId="Index2">
    <w:name w:val="index 2"/>
    <w:basedOn w:val="Index1"/>
    <w:semiHidden/>
    <w:rsid w:val="009D69B6"/>
    <w:pPr>
      <w:ind w:left="284"/>
    </w:pPr>
  </w:style>
  <w:style w:type="paragraph" w:styleId="Index1">
    <w:name w:val="index 1"/>
    <w:basedOn w:val="Normal"/>
    <w:semiHidden/>
    <w:rsid w:val="009D69B6"/>
    <w:pPr>
      <w:keepLines/>
      <w:spacing w:after="0"/>
    </w:pPr>
  </w:style>
  <w:style w:type="paragraph" w:styleId="DocumentMap">
    <w:name w:val="Document Map"/>
    <w:basedOn w:val="Normal"/>
    <w:semiHidden/>
    <w:rsid w:val="009D69B6"/>
    <w:pPr>
      <w:shd w:val="clear" w:color="auto" w:fill="000080"/>
    </w:pPr>
    <w:rPr>
      <w:rFonts w:ascii="Tahoma" w:hAnsi="Tahoma" w:cs="Tahoma"/>
    </w:rPr>
  </w:style>
  <w:style w:type="paragraph" w:styleId="ListNumber2">
    <w:name w:val="List Number 2"/>
    <w:basedOn w:val="ListNumber"/>
    <w:rsid w:val="009D69B6"/>
    <w:pPr>
      <w:ind w:left="851"/>
    </w:pPr>
  </w:style>
  <w:style w:type="paragraph" w:styleId="ListNumber">
    <w:name w:val="List Number"/>
    <w:basedOn w:val="List"/>
    <w:rsid w:val="009D69B6"/>
  </w:style>
  <w:style w:type="paragraph" w:styleId="List">
    <w:name w:val="List"/>
    <w:basedOn w:val="Normal"/>
    <w:rsid w:val="009D69B6"/>
    <w:pPr>
      <w:ind w:left="568" w:hanging="284"/>
    </w:pPr>
  </w:style>
  <w:style w:type="paragraph" w:styleId="Header">
    <w:name w:val="header"/>
    <w:link w:val="HeaderChar"/>
    <w:rsid w:val="009D69B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D69B6"/>
    <w:rPr>
      <w:b/>
      <w:bCs/>
      <w:position w:val="6"/>
      <w:sz w:val="16"/>
      <w:szCs w:val="16"/>
    </w:rPr>
  </w:style>
  <w:style w:type="paragraph" w:styleId="FootnoteText">
    <w:name w:val="footnote text"/>
    <w:basedOn w:val="Normal"/>
    <w:semiHidden/>
    <w:rsid w:val="009D69B6"/>
    <w:pPr>
      <w:keepLines/>
      <w:spacing w:after="0"/>
      <w:ind w:left="454" w:hanging="454"/>
    </w:pPr>
    <w:rPr>
      <w:sz w:val="16"/>
      <w:szCs w:val="16"/>
    </w:rPr>
  </w:style>
  <w:style w:type="paragraph" w:customStyle="1" w:styleId="3GPPHeader">
    <w:name w:val="3GPP_Header"/>
    <w:basedOn w:val="Normal"/>
    <w:rsid w:val="009D69B6"/>
    <w:pPr>
      <w:tabs>
        <w:tab w:val="left" w:pos="1701"/>
        <w:tab w:val="right" w:pos="9639"/>
      </w:tabs>
      <w:spacing w:after="240"/>
    </w:pPr>
    <w:rPr>
      <w:b/>
      <w:sz w:val="24"/>
    </w:rPr>
  </w:style>
  <w:style w:type="paragraph" w:styleId="TOC9">
    <w:name w:val="toc 9"/>
    <w:basedOn w:val="TOC8"/>
    <w:semiHidden/>
    <w:rsid w:val="009D69B6"/>
    <w:pPr>
      <w:ind w:left="1418" w:hanging="1418"/>
    </w:pPr>
  </w:style>
  <w:style w:type="paragraph" w:styleId="TOC6">
    <w:name w:val="toc 6"/>
    <w:basedOn w:val="TOC5"/>
    <w:next w:val="Normal"/>
    <w:semiHidden/>
    <w:rsid w:val="009D69B6"/>
    <w:pPr>
      <w:ind w:left="1985" w:hanging="1985"/>
    </w:pPr>
  </w:style>
  <w:style w:type="paragraph" w:styleId="TOC7">
    <w:name w:val="toc 7"/>
    <w:basedOn w:val="TOC6"/>
    <w:next w:val="Normal"/>
    <w:semiHidden/>
    <w:rsid w:val="009D69B6"/>
    <w:pPr>
      <w:ind w:left="2268" w:hanging="2268"/>
    </w:pPr>
  </w:style>
  <w:style w:type="paragraph" w:styleId="ListBullet2">
    <w:name w:val="List Bullet 2"/>
    <w:basedOn w:val="ListBullet"/>
    <w:rsid w:val="009D69B6"/>
    <w:pPr>
      <w:numPr>
        <w:numId w:val="6"/>
      </w:numPr>
    </w:pPr>
  </w:style>
  <w:style w:type="paragraph" w:styleId="ListBullet">
    <w:name w:val="List Bullet"/>
    <w:basedOn w:val="BodyText"/>
    <w:rsid w:val="009D69B6"/>
    <w:pPr>
      <w:numPr>
        <w:numId w:val="5"/>
      </w:numPr>
    </w:pPr>
  </w:style>
  <w:style w:type="paragraph" w:styleId="ListBullet3">
    <w:name w:val="List Bullet 3"/>
    <w:basedOn w:val="ListBullet2"/>
    <w:rsid w:val="009D69B6"/>
    <w:pPr>
      <w:numPr>
        <w:numId w:val="7"/>
      </w:numPr>
    </w:pPr>
  </w:style>
  <w:style w:type="paragraph" w:customStyle="1" w:styleId="EQ">
    <w:name w:val="EQ"/>
    <w:basedOn w:val="Normal"/>
    <w:next w:val="Normal"/>
    <w:rsid w:val="009D69B6"/>
    <w:pPr>
      <w:keepLines/>
      <w:tabs>
        <w:tab w:val="center" w:pos="4536"/>
        <w:tab w:val="right" w:pos="9072"/>
      </w:tabs>
      <w:spacing w:after="180"/>
      <w:jc w:val="left"/>
    </w:pPr>
    <w:rPr>
      <w:noProof/>
      <w:lang w:eastAsia="en-US"/>
    </w:rPr>
  </w:style>
  <w:style w:type="paragraph" w:styleId="List2">
    <w:name w:val="List 2"/>
    <w:basedOn w:val="List"/>
    <w:rsid w:val="009D69B6"/>
    <w:pPr>
      <w:ind w:left="851"/>
    </w:pPr>
  </w:style>
  <w:style w:type="paragraph" w:styleId="List3">
    <w:name w:val="List 3"/>
    <w:basedOn w:val="List2"/>
    <w:rsid w:val="009D69B6"/>
    <w:pPr>
      <w:ind w:left="1135"/>
    </w:pPr>
  </w:style>
  <w:style w:type="paragraph" w:styleId="List4">
    <w:name w:val="List 4"/>
    <w:basedOn w:val="List3"/>
    <w:rsid w:val="009D69B6"/>
    <w:pPr>
      <w:ind w:left="1418"/>
    </w:pPr>
  </w:style>
  <w:style w:type="paragraph" w:styleId="List5">
    <w:name w:val="List 5"/>
    <w:basedOn w:val="List4"/>
    <w:rsid w:val="009D69B6"/>
    <w:pPr>
      <w:ind w:left="1702"/>
    </w:pPr>
  </w:style>
  <w:style w:type="paragraph" w:customStyle="1" w:styleId="EditorsNote">
    <w:name w:val="Editor's Note"/>
    <w:basedOn w:val="Normal"/>
    <w:rsid w:val="009D69B6"/>
    <w:pPr>
      <w:keepLines/>
      <w:spacing w:after="180"/>
      <w:ind w:left="1135" w:hanging="851"/>
      <w:jc w:val="left"/>
    </w:pPr>
    <w:rPr>
      <w:color w:val="FF0000"/>
      <w:lang w:eastAsia="en-US"/>
    </w:rPr>
  </w:style>
  <w:style w:type="paragraph" w:styleId="ListBullet4">
    <w:name w:val="List Bullet 4"/>
    <w:basedOn w:val="ListBullet3"/>
    <w:rsid w:val="009D69B6"/>
    <w:pPr>
      <w:numPr>
        <w:numId w:val="8"/>
      </w:numPr>
    </w:pPr>
  </w:style>
  <w:style w:type="paragraph" w:styleId="ListBullet5">
    <w:name w:val="List Bullet 5"/>
    <w:basedOn w:val="ListBullet4"/>
    <w:rsid w:val="009D69B6"/>
    <w:pPr>
      <w:numPr>
        <w:numId w:val="4"/>
      </w:numPr>
    </w:pPr>
  </w:style>
  <w:style w:type="paragraph" w:styleId="Footer">
    <w:name w:val="footer"/>
    <w:basedOn w:val="Header"/>
    <w:semiHidden/>
    <w:rsid w:val="009D69B6"/>
    <w:pPr>
      <w:jc w:val="center"/>
    </w:pPr>
    <w:rPr>
      <w:i/>
      <w:iCs/>
    </w:rPr>
  </w:style>
  <w:style w:type="paragraph" w:customStyle="1" w:styleId="Reference">
    <w:name w:val="Reference"/>
    <w:basedOn w:val="Normal"/>
    <w:rsid w:val="009D69B6"/>
    <w:pPr>
      <w:numPr>
        <w:numId w:val="2"/>
      </w:numPr>
    </w:pPr>
  </w:style>
  <w:style w:type="paragraph" w:styleId="BalloonText">
    <w:name w:val="Balloon Text"/>
    <w:basedOn w:val="Normal"/>
    <w:semiHidden/>
    <w:rsid w:val="009D69B6"/>
    <w:rPr>
      <w:rFonts w:ascii="Tahoma" w:hAnsi="Tahoma" w:cs="Tahoma"/>
      <w:sz w:val="16"/>
      <w:szCs w:val="16"/>
    </w:rPr>
  </w:style>
  <w:style w:type="character" w:styleId="PageNumber">
    <w:name w:val="page number"/>
    <w:basedOn w:val="DefaultParagraphFont"/>
    <w:semiHidden/>
    <w:rsid w:val="009D69B6"/>
  </w:style>
  <w:style w:type="paragraph" w:styleId="BodyText">
    <w:name w:val="Body Text"/>
    <w:basedOn w:val="Normal"/>
    <w:link w:val="BodyTextChar"/>
    <w:rsid w:val="009D69B6"/>
  </w:style>
  <w:style w:type="character" w:styleId="Hyperlink">
    <w:name w:val="Hyperlink"/>
    <w:uiPriority w:val="99"/>
    <w:rsid w:val="009D69B6"/>
    <w:rPr>
      <w:color w:val="0000FF"/>
      <w:u w:val="single"/>
      <w:lang w:val="en-GB"/>
    </w:rPr>
  </w:style>
  <w:style w:type="character" w:styleId="FollowedHyperlink">
    <w:name w:val="FollowedHyperlink"/>
    <w:semiHidden/>
    <w:rsid w:val="009D69B6"/>
    <w:rPr>
      <w:color w:val="FF0000"/>
      <w:u w:val="single"/>
    </w:rPr>
  </w:style>
  <w:style w:type="character" w:styleId="CommentReference">
    <w:name w:val="annotation reference"/>
    <w:semiHidden/>
    <w:rsid w:val="009D69B6"/>
    <w:rPr>
      <w:sz w:val="16"/>
      <w:szCs w:val="16"/>
    </w:rPr>
  </w:style>
  <w:style w:type="paragraph" w:styleId="CommentText">
    <w:name w:val="annotation text"/>
    <w:basedOn w:val="Normal"/>
    <w:semiHidden/>
    <w:rsid w:val="009D69B6"/>
  </w:style>
  <w:style w:type="paragraph" w:styleId="CommentSubject">
    <w:name w:val="annotation subject"/>
    <w:basedOn w:val="CommentText"/>
    <w:next w:val="CommentText"/>
    <w:semiHidden/>
    <w:rsid w:val="009D69B6"/>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D69B6"/>
    <w:rPr>
      <w:rFonts w:ascii="Arial" w:hAnsi="Arial" w:cs="Arial"/>
      <w:sz w:val="36"/>
      <w:szCs w:val="36"/>
      <w:lang w:val="en-GB" w:eastAsia="zh-CN"/>
    </w:rPr>
  </w:style>
  <w:style w:type="paragraph" w:customStyle="1" w:styleId="B1">
    <w:name w:val="B1"/>
    <w:basedOn w:val="List"/>
    <w:link w:val="B1Char"/>
    <w:rsid w:val="009D69B6"/>
    <w:pPr>
      <w:spacing w:after="180"/>
      <w:jc w:val="left"/>
    </w:pPr>
    <w:rPr>
      <w:lang w:eastAsia="en-US"/>
    </w:rPr>
  </w:style>
  <w:style w:type="paragraph" w:customStyle="1" w:styleId="B2">
    <w:name w:val="B2"/>
    <w:basedOn w:val="List2"/>
    <w:rsid w:val="009D69B6"/>
    <w:pPr>
      <w:spacing w:after="180"/>
      <w:jc w:val="left"/>
    </w:pPr>
    <w:rPr>
      <w:lang w:eastAsia="en-US"/>
    </w:rPr>
  </w:style>
  <w:style w:type="paragraph" w:customStyle="1" w:styleId="B3">
    <w:name w:val="B3"/>
    <w:basedOn w:val="List3"/>
    <w:rsid w:val="009D69B6"/>
    <w:pPr>
      <w:spacing w:after="180"/>
      <w:jc w:val="left"/>
    </w:pPr>
    <w:rPr>
      <w:lang w:eastAsia="en-US"/>
    </w:rPr>
  </w:style>
  <w:style w:type="paragraph" w:customStyle="1" w:styleId="B4">
    <w:name w:val="B4"/>
    <w:basedOn w:val="List4"/>
    <w:rsid w:val="009D69B6"/>
    <w:pPr>
      <w:spacing w:after="180"/>
      <w:jc w:val="left"/>
    </w:pPr>
    <w:rPr>
      <w:lang w:eastAsia="en-US"/>
    </w:rPr>
  </w:style>
  <w:style w:type="paragraph" w:customStyle="1" w:styleId="Proposal">
    <w:name w:val="Proposal"/>
    <w:basedOn w:val="Normal"/>
    <w:rsid w:val="002C52DF"/>
    <w:pPr>
      <w:numPr>
        <w:numId w:val="3"/>
      </w:numPr>
      <w:tabs>
        <w:tab w:val="clear" w:pos="1304"/>
        <w:tab w:val="left" w:pos="1701"/>
      </w:tabs>
      <w:ind w:left="1701" w:hanging="1701"/>
    </w:pPr>
    <w:rPr>
      <w:b/>
      <w:bCs/>
    </w:rPr>
  </w:style>
  <w:style w:type="character" w:customStyle="1" w:styleId="BodyTextChar">
    <w:name w:val="Body Text Char"/>
    <w:link w:val="BodyText"/>
    <w:rsid w:val="009D69B6"/>
    <w:rPr>
      <w:rFonts w:ascii="Arial" w:hAnsi="Arial"/>
      <w:lang w:val="en-GB" w:eastAsia="zh-CN"/>
    </w:rPr>
  </w:style>
  <w:style w:type="paragraph" w:customStyle="1" w:styleId="B5">
    <w:name w:val="B5"/>
    <w:basedOn w:val="List5"/>
    <w:rsid w:val="009D69B6"/>
    <w:pPr>
      <w:spacing w:after="180"/>
      <w:jc w:val="left"/>
    </w:pPr>
    <w:rPr>
      <w:lang w:eastAsia="en-US"/>
    </w:rPr>
  </w:style>
  <w:style w:type="paragraph" w:customStyle="1" w:styleId="EX">
    <w:name w:val="EX"/>
    <w:basedOn w:val="Normal"/>
    <w:rsid w:val="009D69B6"/>
    <w:pPr>
      <w:keepLines/>
      <w:spacing w:after="180"/>
      <w:ind w:left="1702" w:hanging="1418"/>
      <w:jc w:val="left"/>
    </w:pPr>
    <w:rPr>
      <w:lang w:eastAsia="en-US"/>
    </w:rPr>
  </w:style>
  <w:style w:type="paragraph" w:customStyle="1" w:styleId="EW">
    <w:name w:val="EW"/>
    <w:basedOn w:val="EX"/>
    <w:rsid w:val="009D69B6"/>
    <w:pPr>
      <w:spacing w:after="0"/>
    </w:pPr>
  </w:style>
  <w:style w:type="paragraph" w:customStyle="1" w:styleId="TAL">
    <w:name w:val="TAL"/>
    <w:basedOn w:val="Normal"/>
    <w:rsid w:val="009D69B6"/>
    <w:pPr>
      <w:keepNext/>
      <w:keepLines/>
      <w:spacing w:after="0"/>
      <w:jc w:val="left"/>
    </w:pPr>
    <w:rPr>
      <w:sz w:val="18"/>
      <w:lang w:eastAsia="en-US"/>
    </w:rPr>
  </w:style>
  <w:style w:type="paragraph" w:customStyle="1" w:styleId="TAC">
    <w:name w:val="TAC"/>
    <w:basedOn w:val="TAL"/>
    <w:rsid w:val="009D69B6"/>
    <w:pPr>
      <w:jc w:val="center"/>
    </w:pPr>
  </w:style>
  <w:style w:type="paragraph" w:customStyle="1" w:styleId="TAH">
    <w:name w:val="TAH"/>
    <w:basedOn w:val="TAC"/>
    <w:rsid w:val="009D69B6"/>
    <w:rPr>
      <w:b/>
    </w:rPr>
  </w:style>
  <w:style w:type="paragraph" w:customStyle="1" w:styleId="TAN">
    <w:name w:val="TAN"/>
    <w:basedOn w:val="TAL"/>
    <w:rsid w:val="009D69B6"/>
    <w:pPr>
      <w:ind w:left="851" w:hanging="851"/>
    </w:pPr>
  </w:style>
  <w:style w:type="paragraph" w:customStyle="1" w:styleId="TAR">
    <w:name w:val="TAR"/>
    <w:basedOn w:val="TAL"/>
    <w:rsid w:val="009D69B6"/>
    <w:pPr>
      <w:jc w:val="right"/>
    </w:pPr>
  </w:style>
  <w:style w:type="paragraph" w:customStyle="1" w:styleId="TH">
    <w:name w:val="TH"/>
    <w:basedOn w:val="Normal"/>
    <w:link w:val="THChar"/>
    <w:rsid w:val="009D69B6"/>
    <w:pPr>
      <w:keepNext/>
      <w:keepLines/>
      <w:spacing w:before="60" w:after="180"/>
      <w:jc w:val="center"/>
    </w:pPr>
    <w:rPr>
      <w:b/>
      <w:lang w:eastAsia="en-US"/>
    </w:rPr>
  </w:style>
  <w:style w:type="paragraph" w:customStyle="1" w:styleId="TF">
    <w:name w:val="TF"/>
    <w:basedOn w:val="TH"/>
    <w:link w:val="TFChar"/>
    <w:rsid w:val="009D69B6"/>
    <w:pPr>
      <w:keepNext w:val="0"/>
      <w:spacing w:before="0" w:after="240"/>
    </w:pPr>
  </w:style>
  <w:style w:type="paragraph" w:customStyle="1" w:styleId="TT">
    <w:name w:val="TT"/>
    <w:basedOn w:val="Heading1"/>
    <w:next w:val="Normal"/>
    <w:rsid w:val="009D69B6"/>
    <w:pPr>
      <w:numPr>
        <w:numId w:val="0"/>
      </w:numPr>
      <w:ind w:left="1134" w:hanging="1134"/>
      <w:outlineLvl w:val="9"/>
    </w:pPr>
    <w:rPr>
      <w:rFonts w:cs="Times New Roman"/>
      <w:szCs w:val="20"/>
      <w:lang w:eastAsia="en-US"/>
    </w:rPr>
  </w:style>
  <w:style w:type="paragraph" w:customStyle="1" w:styleId="ZA">
    <w:name w:val="ZA"/>
    <w:rsid w:val="009D69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D69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D69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D69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D69B6"/>
  </w:style>
  <w:style w:type="paragraph" w:customStyle="1" w:styleId="ZH">
    <w:name w:val="ZH"/>
    <w:rsid w:val="009D69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D69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D69B6"/>
    <w:pPr>
      <w:framePr w:hRule="auto" w:wrap="notBeside" w:y="852"/>
    </w:pPr>
    <w:rPr>
      <w:i w:val="0"/>
      <w:sz w:val="40"/>
    </w:rPr>
  </w:style>
  <w:style w:type="paragraph" w:customStyle="1" w:styleId="ZU">
    <w:name w:val="ZU"/>
    <w:rsid w:val="009D69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D69B6"/>
    <w:pPr>
      <w:framePr w:wrap="notBeside" w:y="16161"/>
    </w:pPr>
  </w:style>
  <w:style w:type="paragraph" w:customStyle="1" w:styleId="FP">
    <w:name w:val="FP"/>
    <w:basedOn w:val="Normal"/>
    <w:rsid w:val="009D69B6"/>
    <w:pPr>
      <w:spacing w:after="0"/>
      <w:jc w:val="left"/>
    </w:pPr>
    <w:rPr>
      <w:lang w:eastAsia="en-US"/>
    </w:rPr>
  </w:style>
  <w:style w:type="paragraph" w:customStyle="1" w:styleId="Observation">
    <w:name w:val="Observation"/>
    <w:basedOn w:val="Proposal"/>
    <w:qFormat/>
    <w:rsid w:val="002C52DF"/>
    <w:pPr>
      <w:numPr>
        <w:numId w:val="13"/>
      </w:numPr>
      <w:ind w:left="1701" w:hanging="1701"/>
    </w:pPr>
  </w:style>
  <w:style w:type="paragraph" w:styleId="TableofFigures">
    <w:name w:val="table of figures"/>
    <w:basedOn w:val="Normal"/>
    <w:next w:val="Normal"/>
    <w:uiPriority w:val="99"/>
    <w:rsid w:val="009D69B6"/>
    <w:pPr>
      <w:ind w:left="1418" w:hanging="1418"/>
      <w:jc w:val="left"/>
    </w:pPr>
    <w:rPr>
      <w:b/>
    </w:rPr>
  </w:style>
  <w:style w:type="paragraph" w:customStyle="1" w:styleId="Doc-text2">
    <w:name w:val="Doc-text2"/>
    <w:basedOn w:val="Normal"/>
    <w:link w:val="Doc-text2Char"/>
    <w:qFormat/>
    <w:rsid w:val="009D69B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D69B6"/>
    <w:rPr>
      <w:rFonts w:ascii="Arial" w:eastAsia="MS Mincho" w:hAnsi="Arial"/>
      <w:szCs w:val="24"/>
      <w:lang w:val="en-GB" w:eastAsia="en-GB"/>
    </w:rPr>
  </w:style>
  <w:style w:type="paragraph" w:customStyle="1" w:styleId="CRCoverPage">
    <w:name w:val="CR Cover Page"/>
    <w:rsid w:val="00D95919"/>
    <w:pPr>
      <w:spacing w:after="120"/>
    </w:pPr>
    <w:rPr>
      <w:rFonts w:ascii="Arial" w:hAnsi="Arial"/>
      <w:lang w:val="en-GB"/>
    </w:rPr>
  </w:style>
  <w:style w:type="character" w:customStyle="1" w:styleId="HeaderChar">
    <w:name w:val="Header Char"/>
    <w:basedOn w:val="DefaultParagraphFont"/>
    <w:link w:val="Header"/>
    <w:locked/>
    <w:rsid w:val="00397394"/>
    <w:rPr>
      <w:rFonts w:ascii="Arial" w:hAnsi="Arial" w:cs="Arial"/>
      <w:b/>
      <w:bCs/>
      <w:noProof/>
      <w:sz w:val="18"/>
      <w:szCs w:val="18"/>
      <w:lang w:eastAsia="zh-CN"/>
    </w:rPr>
  </w:style>
  <w:style w:type="paragraph" w:styleId="ListParagraph">
    <w:name w:val="List Paragraph"/>
    <w:basedOn w:val="Normal"/>
    <w:link w:val="ListParagraphChar"/>
    <w:uiPriority w:val="34"/>
    <w:qFormat/>
    <w:rsid w:val="00A73D35"/>
    <w:pPr>
      <w:ind w:left="720"/>
      <w:contextualSpacing/>
    </w:pPr>
  </w:style>
  <w:style w:type="character" w:customStyle="1" w:styleId="B1Char">
    <w:name w:val="B1 Char"/>
    <w:basedOn w:val="DefaultParagraphFont"/>
    <w:link w:val="B1"/>
    <w:rsid w:val="008324B2"/>
    <w:rPr>
      <w:rFonts w:ascii="Arial" w:hAnsi="Arial"/>
      <w:lang w:val="en-GB"/>
    </w:rPr>
  </w:style>
  <w:style w:type="character" w:customStyle="1" w:styleId="ListParagraphChar">
    <w:name w:val="List Paragraph Char"/>
    <w:link w:val="ListParagraph"/>
    <w:uiPriority w:val="34"/>
    <w:locked/>
    <w:rsid w:val="009027BD"/>
    <w:rPr>
      <w:rFonts w:ascii="Arial" w:hAnsi="Arial"/>
      <w:lang w:val="en-GB" w:eastAsia="zh-CN"/>
    </w:rPr>
  </w:style>
  <w:style w:type="character" w:customStyle="1" w:styleId="THChar">
    <w:name w:val="TH Char"/>
    <w:link w:val="TH"/>
    <w:rsid w:val="009027BD"/>
    <w:rPr>
      <w:rFonts w:ascii="Arial" w:hAnsi="Arial"/>
      <w:b/>
      <w:lang w:val="en-GB"/>
    </w:rPr>
  </w:style>
  <w:style w:type="character" w:customStyle="1" w:styleId="TFChar">
    <w:name w:val="TF Char"/>
    <w:link w:val="TF"/>
    <w:rsid w:val="009027BD"/>
    <w:rPr>
      <w:rFonts w:ascii="Arial" w:hAnsi="Arial"/>
      <w:b/>
      <w:lang w:val="en-GB"/>
    </w:rPr>
  </w:style>
  <w:style w:type="paragraph" w:styleId="Quote">
    <w:name w:val="Quote"/>
    <w:basedOn w:val="Normal"/>
    <w:next w:val="Normal"/>
    <w:link w:val="QuoteChar"/>
    <w:uiPriority w:val="29"/>
    <w:qFormat/>
    <w:rsid w:val="00CC0DD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C0DDF"/>
    <w:rPr>
      <w:rFonts w:ascii="Arial" w:hAnsi="Arial"/>
      <w:i/>
      <w:iCs/>
      <w:color w:val="404040" w:themeColor="text1" w:themeTint="BF"/>
      <w:lang w:val="en-GB" w:eastAsia="zh-CN"/>
    </w:rPr>
  </w:style>
  <w:style w:type="paragraph" w:styleId="Revision">
    <w:name w:val="Revision"/>
    <w:hidden/>
    <w:uiPriority w:val="99"/>
    <w:semiHidden/>
    <w:rsid w:val="00C9300C"/>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35214">
      <w:bodyDiv w:val="1"/>
      <w:marLeft w:val="0"/>
      <w:marRight w:val="0"/>
      <w:marTop w:val="0"/>
      <w:marBottom w:val="0"/>
      <w:divBdr>
        <w:top w:val="none" w:sz="0" w:space="0" w:color="auto"/>
        <w:left w:val="none" w:sz="0" w:space="0" w:color="auto"/>
        <w:bottom w:val="none" w:sz="0" w:space="0" w:color="auto"/>
        <w:right w:val="none" w:sz="0" w:space="0" w:color="auto"/>
      </w:divBdr>
      <w:divsChild>
        <w:div w:id="876163592">
          <w:marLeft w:val="0"/>
          <w:marRight w:val="0"/>
          <w:marTop w:val="0"/>
          <w:marBottom w:val="0"/>
          <w:divBdr>
            <w:top w:val="none" w:sz="0" w:space="0" w:color="auto"/>
            <w:left w:val="none" w:sz="0" w:space="0" w:color="auto"/>
            <w:bottom w:val="none" w:sz="0" w:space="0" w:color="auto"/>
            <w:right w:val="none" w:sz="0" w:space="0" w:color="auto"/>
          </w:divBdr>
          <w:divsChild>
            <w:div w:id="1639217562">
              <w:marLeft w:val="0"/>
              <w:marRight w:val="0"/>
              <w:marTop w:val="0"/>
              <w:marBottom w:val="0"/>
              <w:divBdr>
                <w:top w:val="none" w:sz="0" w:space="0" w:color="auto"/>
                <w:left w:val="none" w:sz="0" w:space="0" w:color="auto"/>
                <w:bottom w:val="none" w:sz="0" w:space="0" w:color="auto"/>
                <w:right w:val="none" w:sz="0" w:space="0" w:color="auto"/>
              </w:divBdr>
              <w:divsChild>
                <w:div w:id="1653213254">
                  <w:marLeft w:val="0"/>
                  <w:marRight w:val="0"/>
                  <w:marTop w:val="0"/>
                  <w:marBottom w:val="0"/>
                  <w:divBdr>
                    <w:top w:val="none" w:sz="0" w:space="0" w:color="auto"/>
                    <w:left w:val="none" w:sz="0" w:space="0" w:color="auto"/>
                    <w:bottom w:val="none" w:sz="0" w:space="0" w:color="auto"/>
                    <w:right w:val="none" w:sz="0" w:space="0" w:color="auto"/>
                  </w:divBdr>
                  <w:divsChild>
                    <w:div w:id="773743445">
                      <w:marLeft w:val="0"/>
                      <w:marRight w:val="0"/>
                      <w:marTop w:val="0"/>
                      <w:marBottom w:val="0"/>
                      <w:divBdr>
                        <w:top w:val="none" w:sz="0" w:space="0" w:color="auto"/>
                        <w:left w:val="none" w:sz="0" w:space="0" w:color="auto"/>
                        <w:bottom w:val="none" w:sz="0" w:space="0" w:color="auto"/>
                        <w:right w:val="none" w:sz="0" w:space="0" w:color="auto"/>
                      </w:divBdr>
                      <w:divsChild>
                        <w:div w:id="986783744">
                          <w:marLeft w:val="0"/>
                          <w:marRight w:val="0"/>
                          <w:marTop w:val="0"/>
                          <w:marBottom w:val="0"/>
                          <w:divBdr>
                            <w:top w:val="none" w:sz="0" w:space="0" w:color="auto"/>
                            <w:left w:val="none" w:sz="0" w:space="0" w:color="auto"/>
                            <w:bottom w:val="none" w:sz="0" w:space="0" w:color="auto"/>
                            <w:right w:val="none" w:sz="0" w:space="0" w:color="auto"/>
                          </w:divBdr>
                          <w:divsChild>
                            <w:div w:id="488982094">
                              <w:marLeft w:val="0"/>
                              <w:marRight w:val="0"/>
                              <w:marTop w:val="0"/>
                              <w:marBottom w:val="0"/>
                              <w:divBdr>
                                <w:top w:val="none" w:sz="0" w:space="0" w:color="auto"/>
                                <w:left w:val="none" w:sz="0" w:space="0" w:color="auto"/>
                                <w:bottom w:val="none" w:sz="0" w:space="0" w:color="auto"/>
                                <w:right w:val="none" w:sz="0" w:space="0" w:color="auto"/>
                              </w:divBdr>
                              <w:divsChild>
                                <w:div w:id="602229863">
                                  <w:marLeft w:val="0"/>
                                  <w:marRight w:val="0"/>
                                  <w:marTop w:val="0"/>
                                  <w:marBottom w:val="0"/>
                                  <w:divBdr>
                                    <w:top w:val="none" w:sz="0" w:space="0" w:color="auto"/>
                                    <w:left w:val="none" w:sz="0" w:space="0" w:color="auto"/>
                                    <w:bottom w:val="none" w:sz="0" w:space="0" w:color="auto"/>
                                    <w:right w:val="none" w:sz="0" w:space="0" w:color="auto"/>
                                  </w:divBdr>
                                  <w:divsChild>
                                    <w:div w:id="371350392">
                                      <w:marLeft w:val="0"/>
                                      <w:marRight w:val="0"/>
                                      <w:marTop w:val="0"/>
                                      <w:marBottom w:val="0"/>
                                      <w:divBdr>
                                        <w:top w:val="none" w:sz="0" w:space="0" w:color="auto"/>
                                        <w:left w:val="none" w:sz="0" w:space="0" w:color="auto"/>
                                        <w:bottom w:val="none" w:sz="0" w:space="0" w:color="auto"/>
                                        <w:right w:val="none" w:sz="0" w:space="0" w:color="auto"/>
                                      </w:divBdr>
                                      <w:divsChild>
                                        <w:div w:id="1964578691">
                                          <w:marLeft w:val="0"/>
                                          <w:marRight w:val="0"/>
                                          <w:marTop w:val="0"/>
                                          <w:marBottom w:val="0"/>
                                          <w:divBdr>
                                            <w:top w:val="none" w:sz="0" w:space="0" w:color="auto"/>
                                            <w:left w:val="none" w:sz="0" w:space="0" w:color="auto"/>
                                            <w:bottom w:val="none" w:sz="0" w:space="0" w:color="auto"/>
                                            <w:right w:val="none" w:sz="0" w:space="0" w:color="auto"/>
                                          </w:divBdr>
                                          <w:divsChild>
                                            <w:div w:id="1065181931">
                                              <w:marLeft w:val="0"/>
                                              <w:marRight w:val="0"/>
                                              <w:marTop w:val="0"/>
                                              <w:marBottom w:val="0"/>
                                              <w:divBdr>
                                                <w:top w:val="none" w:sz="0" w:space="0" w:color="auto"/>
                                                <w:left w:val="none" w:sz="0" w:space="0" w:color="auto"/>
                                                <w:bottom w:val="none" w:sz="0" w:space="0" w:color="auto"/>
                                                <w:right w:val="none" w:sz="0" w:space="0" w:color="auto"/>
                                              </w:divBdr>
                                              <w:divsChild>
                                                <w:div w:id="956301994">
                                                  <w:marLeft w:val="0"/>
                                                  <w:marRight w:val="0"/>
                                                  <w:marTop w:val="0"/>
                                                  <w:marBottom w:val="0"/>
                                                  <w:divBdr>
                                                    <w:top w:val="none" w:sz="0" w:space="0" w:color="auto"/>
                                                    <w:left w:val="none" w:sz="0" w:space="0" w:color="auto"/>
                                                    <w:bottom w:val="none" w:sz="0" w:space="0" w:color="auto"/>
                                                    <w:right w:val="none" w:sz="0" w:space="0" w:color="auto"/>
                                                  </w:divBdr>
                                                  <w:divsChild>
                                                    <w:div w:id="350957346">
                                                      <w:marLeft w:val="0"/>
                                                      <w:marRight w:val="0"/>
                                                      <w:marTop w:val="0"/>
                                                      <w:marBottom w:val="0"/>
                                                      <w:divBdr>
                                                        <w:top w:val="none" w:sz="0" w:space="0" w:color="auto"/>
                                                        <w:left w:val="none" w:sz="0" w:space="0" w:color="auto"/>
                                                        <w:bottom w:val="none" w:sz="0" w:space="0" w:color="auto"/>
                                                        <w:right w:val="none" w:sz="0" w:space="0" w:color="auto"/>
                                                      </w:divBdr>
                                                      <w:divsChild>
                                                        <w:div w:id="621881924">
                                                          <w:marLeft w:val="0"/>
                                                          <w:marRight w:val="0"/>
                                                          <w:marTop w:val="450"/>
                                                          <w:marBottom w:val="450"/>
                                                          <w:divBdr>
                                                            <w:top w:val="none" w:sz="0" w:space="0" w:color="auto"/>
                                                            <w:left w:val="none" w:sz="0" w:space="0" w:color="auto"/>
                                                            <w:bottom w:val="none" w:sz="0" w:space="0" w:color="auto"/>
                                                            <w:right w:val="none" w:sz="0" w:space="0" w:color="auto"/>
                                                          </w:divBdr>
                                                          <w:divsChild>
                                                            <w:div w:id="621499589">
                                                              <w:marLeft w:val="0"/>
                                                              <w:marRight w:val="0"/>
                                                              <w:marTop w:val="0"/>
                                                              <w:marBottom w:val="0"/>
                                                              <w:divBdr>
                                                                <w:top w:val="none" w:sz="0" w:space="0" w:color="auto"/>
                                                                <w:left w:val="none" w:sz="0" w:space="0" w:color="auto"/>
                                                                <w:bottom w:val="none" w:sz="0" w:space="0" w:color="auto"/>
                                                                <w:right w:val="none" w:sz="0" w:space="0" w:color="auto"/>
                                                              </w:divBdr>
                                                              <w:divsChild>
                                                                <w:div w:id="934291343">
                                                                  <w:marLeft w:val="0"/>
                                                                  <w:marRight w:val="0"/>
                                                                  <w:marTop w:val="525"/>
                                                                  <w:marBottom w:val="300"/>
                                                                  <w:divBdr>
                                                                    <w:top w:val="single" w:sz="6" w:space="0" w:color="8CE1F5"/>
                                                                    <w:left w:val="single" w:sz="6" w:space="11" w:color="8CE1F5"/>
                                                                    <w:bottom w:val="single" w:sz="6" w:space="0" w:color="8CE1F5"/>
                                                                    <w:right w:val="single" w:sz="6" w:space="11" w:color="8CE1F5"/>
                                                                  </w:divBdr>
                                                                  <w:divsChild>
                                                                    <w:div w:id="393705251">
                                                                      <w:marLeft w:val="0"/>
                                                                      <w:marRight w:val="0"/>
                                                                      <w:marTop w:val="0"/>
                                                                      <w:marBottom w:val="0"/>
                                                                      <w:divBdr>
                                                                        <w:top w:val="none" w:sz="0" w:space="0" w:color="auto"/>
                                                                        <w:left w:val="none" w:sz="0" w:space="0" w:color="auto"/>
                                                                        <w:bottom w:val="none" w:sz="0" w:space="0" w:color="auto"/>
                                                                        <w:right w:val="none" w:sz="0" w:space="0" w:color="auto"/>
                                                                      </w:divBdr>
                                                                      <w:divsChild>
                                                                        <w:div w:id="721826480">
                                                                          <w:marLeft w:val="0"/>
                                                                          <w:marRight w:val="0"/>
                                                                          <w:marTop w:val="0"/>
                                                                          <w:marBottom w:val="0"/>
                                                                          <w:divBdr>
                                                                            <w:top w:val="single" w:sz="6" w:space="11" w:color="8CE1F5"/>
                                                                            <w:left w:val="none" w:sz="0" w:space="0" w:color="auto"/>
                                                                            <w:bottom w:val="none" w:sz="0" w:space="0" w:color="auto"/>
                                                                            <w:right w:val="none" w:sz="0" w:space="0" w:color="auto"/>
                                                                          </w:divBdr>
                                                                          <w:divsChild>
                                                                            <w:div w:id="1364750225">
                                                                              <w:marLeft w:val="0"/>
                                                                              <w:marRight w:val="0"/>
                                                                              <w:marTop w:val="0"/>
                                                                              <w:marBottom w:val="0"/>
                                                                              <w:divBdr>
                                                                                <w:top w:val="none" w:sz="0" w:space="0" w:color="auto"/>
                                                                                <w:left w:val="none" w:sz="0" w:space="0" w:color="auto"/>
                                                                                <w:bottom w:val="none" w:sz="0" w:space="0" w:color="auto"/>
                                                                                <w:right w:val="none" w:sz="0" w:space="0" w:color="auto"/>
                                                                              </w:divBdr>
                                                                              <w:divsChild>
                                                                                <w:div w:id="1991517769">
                                                                                  <w:marLeft w:val="0"/>
                                                                                  <w:marRight w:val="0"/>
                                                                                  <w:marTop w:val="0"/>
                                                                                  <w:marBottom w:val="0"/>
                                                                                  <w:divBdr>
                                                                                    <w:top w:val="none" w:sz="0" w:space="0" w:color="auto"/>
                                                                                    <w:left w:val="none" w:sz="0" w:space="0" w:color="auto"/>
                                                                                    <w:bottom w:val="none" w:sz="0" w:space="0" w:color="auto"/>
                                                                                    <w:right w:val="none" w:sz="0" w:space="0" w:color="auto"/>
                                                                                  </w:divBdr>
                                                                                  <w:divsChild>
                                                                                    <w:div w:id="902258774">
                                                                                      <w:marLeft w:val="0"/>
                                                                                      <w:marRight w:val="0"/>
                                                                                      <w:marTop w:val="0"/>
                                                                                      <w:marBottom w:val="0"/>
                                                                                      <w:divBdr>
                                                                                        <w:top w:val="none" w:sz="0" w:space="0" w:color="auto"/>
                                                                                        <w:left w:val="none" w:sz="0" w:space="0" w:color="auto"/>
                                                                                        <w:bottom w:val="none" w:sz="0" w:space="0" w:color="auto"/>
                                                                                        <w:right w:val="none" w:sz="0" w:space="0" w:color="auto"/>
                                                                                      </w:divBdr>
                                                                                      <w:divsChild>
                                                                                        <w:div w:id="897859830">
                                                                                          <w:marLeft w:val="0"/>
                                                                                          <w:marRight w:val="0"/>
                                                                                          <w:marTop w:val="0"/>
                                                                                          <w:marBottom w:val="0"/>
                                                                                          <w:divBdr>
                                                                                            <w:top w:val="none" w:sz="0" w:space="0" w:color="auto"/>
                                                                                            <w:left w:val="none" w:sz="0" w:space="0" w:color="auto"/>
                                                                                            <w:bottom w:val="none" w:sz="0" w:space="0" w:color="auto"/>
                                                                                            <w:right w:val="none" w:sz="0" w:space="0" w:color="auto"/>
                                                                                          </w:divBdr>
                                                                                          <w:divsChild>
                                                                                            <w:div w:id="1541671051">
                                                                                              <w:marLeft w:val="0"/>
                                                                                              <w:marRight w:val="0"/>
                                                                                              <w:marTop w:val="0"/>
                                                                                              <w:marBottom w:val="220"/>
                                                                                              <w:divBdr>
                                                                                                <w:top w:val="none" w:sz="0" w:space="0" w:color="auto"/>
                                                                                                <w:left w:val="none" w:sz="0" w:space="0" w:color="auto"/>
                                                                                                <w:bottom w:val="none" w:sz="0" w:space="0" w:color="auto"/>
                                                                                                <w:right w:val="none" w:sz="0" w:space="0" w:color="auto"/>
                                                                                              </w:divBdr>
                                                                                              <w:divsChild>
                                                                                                <w:div w:id="2119182388">
                                                                                                  <w:marLeft w:val="0"/>
                                                                                                  <w:marRight w:val="0"/>
                                                                                                  <w:marTop w:val="0"/>
                                                                                                  <w:marBottom w:val="220"/>
                                                                                                  <w:divBdr>
                                                                                                    <w:top w:val="none" w:sz="0" w:space="0" w:color="auto"/>
                                                                                                    <w:left w:val="none" w:sz="0" w:space="0" w:color="auto"/>
                                                                                                    <w:bottom w:val="none" w:sz="0" w:space="0" w:color="auto"/>
                                                                                                    <w:right w:val="none" w:sz="0" w:space="0" w:color="auto"/>
                                                                                                  </w:divBdr>
                                                                                                  <w:divsChild>
                                                                                                    <w:div w:id="118463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4263179">
      <w:bodyDiv w:val="1"/>
      <w:marLeft w:val="0"/>
      <w:marRight w:val="0"/>
      <w:marTop w:val="0"/>
      <w:marBottom w:val="0"/>
      <w:divBdr>
        <w:top w:val="none" w:sz="0" w:space="0" w:color="auto"/>
        <w:left w:val="none" w:sz="0" w:space="0" w:color="auto"/>
        <w:bottom w:val="none" w:sz="0" w:space="0" w:color="auto"/>
        <w:right w:val="none" w:sz="0" w:space="0" w:color="auto"/>
      </w:divBdr>
    </w:div>
    <w:div w:id="662666900">
      <w:bodyDiv w:val="1"/>
      <w:marLeft w:val="0"/>
      <w:marRight w:val="0"/>
      <w:marTop w:val="0"/>
      <w:marBottom w:val="0"/>
      <w:divBdr>
        <w:top w:val="none" w:sz="0" w:space="0" w:color="auto"/>
        <w:left w:val="none" w:sz="0" w:space="0" w:color="auto"/>
        <w:bottom w:val="none" w:sz="0" w:space="0" w:color="auto"/>
        <w:right w:val="none" w:sz="0" w:space="0" w:color="auto"/>
      </w:divBdr>
    </w:div>
    <w:div w:id="116000393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88842631">
      <w:bodyDiv w:val="1"/>
      <w:marLeft w:val="0"/>
      <w:marRight w:val="0"/>
      <w:marTop w:val="0"/>
      <w:marBottom w:val="0"/>
      <w:divBdr>
        <w:top w:val="none" w:sz="0" w:space="0" w:color="auto"/>
        <w:left w:val="none" w:sz="0" w:space="0" w:color="auto"/>
        <w:bottom w:val="none" w:sz="0" w:space="0" w:color="auto"/>
        <w:right w:val="none" w:sz="0" w:space="0" w:color="auto"/>
      </w:divBdr>
    </w:div>
    <w:div w:id="2089034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jinh\Desktop\work-folder\RAN2-100\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5NUHHDQN7SK2-1-184986</_dlc_DocId>
    <_dlc_DocIdUrl xmlns="08b2df90-05d3-4030-90d4-c9feeb4a1cd9">
      <Url>https://ericoll.internal.ericsson.com/sites/star/_layouts/DocIdRedir.aspx?ID=5NUHHDQN7SK2-1-184986</Url>
      <Description>5NUHHDQN7SK2-1-184986</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6E9F0-9DBD-40EA-AED0-3F87E0FBAA56}"/>
</file>

<file path=customXml/itemProps2.xml><?xml version="1.0" encoding="utf-8"?>
<ds:datastoreItem xmlns:ds="http://schemas.openxmlformats.org/officeDocument/2006/customXml" ds:itemID="{55E0644C-6BEA-4A28-8785-968290B61A99}"/>
</file>

<file path=customXml/itemProps3.xml><?xml version="1.0" encoding="utf-8"?>
<ds:datastoreItem xmlns:ds="http://schemas.openxmlformats.org/officeDocument/2006/customXml" ds:itemID="{BEE23EE5-5864-4ADF-A848-295F30FA12F3}"/>
</file>

<file path=customXml/itemProps4.xml><?xml version="1.0" encoding="utf-8"?>
<ds:datastoreItem xmlns:ds="http://schemas.openxmlformats.org/officeDocument/2006/customXml" ds:itemID="{9F5946CB-8946-499C-8B44-7DE1A592D1D0}"/>
</file>

<file path=customXml/itemProps5.xml><?xml version="1.0" encoding="utf-8"?>
<ds:datastoreItem xmlns:ds="http://schemas.openxmlformats.org/officeDocument/2006/customXml" ds:itemID="{A6ADDEA9-6B92-4E8E-BF1A-BE0E057DD172}"/>
</file>

<file path=customXml/itemProps6.xml><?xml version="1.0" encoding="utf-8"?>
<ds:datastoreItem xmlns:ds="http://schemas.openxmlformats.org/officeDocument/2006/customXml" ds:itemID="{F95D044E-DEF4-44A0-9715-94CD62B64AD4}"/>
</file>

<file path=customXml/itemProps7.xml><?xml version="1.0" encoding="utf-8"?>
<ds:datastoreItem xmlns:ds="http://schemas.openxmlformats.org/officeDocument/2006/customXml" ds:itemID="{97AD28FD-217D-4035-BF27-2BFB15C74673}"/>
</file>

<file path=docProps/app.xml><?xml version="1.0" encoding="utf-8"?>
<Properties xmlns="http://schemas.openxmlformats.org/officeDocument/2006/extended-properties" xmlns:vt="http://schemas.openxmlformats.org/officeDocument/2006/docPropsVTypes">
  <Template>R2-17xxxxx - Contribution Template.dotx</Template>
  <TotalTime>1942</TotalTime>
  <Pages>4</Pages>
  <Words>2069</Words>
  <Characters>10387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dc:creator>
  <cp:keywords>Ericsson; TDoc; 3GPP</cp:keywords>
  <cp:lastModifiedBy>Ericsson</cp:lastModifiedBy>
  <cp:revision>71</cp:revision>
  <cp:lastPrinted>2008-01-31T16:09:00Z</cp:lastPrinted>
  <dcterms:created xsi:type="dcterms:W3CDTF">2017-10-27T03:52:00Z</dcterms:created>
  <dcterms:modified xsi:type="dcterms:W3CDTF">2017-11-17T00:06:00Z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6787c3c1-b3d6-4ebd-a83c-8e0893ac1ed2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